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70668" w14:textId="0EAD92F0" w:rsidR="00F07042" w:rsidRPr="00991867" w:rsidRDefault="00202BBC" w:rsidP="00DE29EA">
      <w:pPr>
        <w:spacing w:line="360" w:lineRule="auto"/>
        <w:jc w:val="right"/>
        <w:rPr>
          <w:rFonts w:cstheme="minorHAnsi"/>
          <w:b/>
        </w:rPr>
      </w:pPr>
      <w:bookmarkStart w:id="0" w:name="OLE_LINK1"/>
      <w:bookmarkStart w:id="1" w:name="OLE_LINK2"/>
      <w:bookmarkStart w:id="2" w:name="OLE_LINK3"/>
      <w:bookmarkStart w:id="3" w:name="OLE_LINK4"/>
      <w:r w:rsidRPr="00991867">
        <w:rPr>
          <w:rFonts w:cstheme="minorHAnsi"/>
          <w:b/>
        </w:rPr>
        <w:t xml:space="preserve">Iktatószám: </w:t>
      </w:r>
      <w:r w:rsidR="0006190D" w:rsidRPr="00991867">
        <w:rPr>
          <w:rFonts w:cstheme="minorHAnsi"/>
          <w:b/>
        </w:rPr>
        <w:t>IV</w:t>
      </w:r>
      <w:r w:rsidRPr="00991867">
        <w:rPr>
          <w:rFonts w:cstheme="minorHAnsi"/>
          <w:b/>
        </w:rPr>
        <w:t>/</w:t>
      </w:r>
      <w:r w:rsidR="00991867" w:rsidRPr="00991867">
        <w:rPr>
          <w:rFonts w:cstheme="minorHAnsi"/>
          <w:b/>
        </w:rPr>
        <w:t>10-1</w:t>
      </w:r>
      <w:r w:rsidR="00F07042" w:rsidRPr="00991867">
        <w:rPr>
          <w:rFonts w:cstheme="minorHAnsi"/>
          <w:b/>
        </w:rPr>
        <w:t>/20</w:t>
      </w:r>
      <w:r w:rsidR="0006190D" w:rsidRPr="00991867">
        <w:rPr>
          <w:rFonts w:cstheme="minorHAnsi"/>
          <w:b/>
        </w:rPr>
        <w:t>21</w:t>
      </w:r>
    </w:p>
    <w:p w14:paraId="28EDA33E" w14:textId="77777777" w:rsidR="00F07042" w:rsidRPr="00991867" w:rsidRDefault="00F07042" w:rsidP="00F07042">
      <w:pPr>
        <w:spacing w:line="360" w:lineRule="auto"/>
        <w:rPr>
          <w:rFonts w:cstheme="minorHAnsi"/>
          <w:b/>
        </w:rPr>
      </w:pPr>
    </w:p>
    <w:p w14:paraId="3F9C44BC" w14:textId="77777777" w:rsidR="00F07042" w:rsidRPr="00991867" w:rsidRDefault="00F07042" w:rsidP="00F07042">
      <w:pPr>
        <w:spacing w:line="360" w:lineRule="auto"/>
        <w:rPr>
          <w:rFonts w:cstheme="minorHAnsi"/>
          <w:b/>
        </w:rPr>
      </w:pPr>
    </w:p>
    <w:p w14:paraId="6905B783" w14:textId="77777777" w:rsidR="00F07042" w:rsidRPr="00991867" w:rsidRDefault="00F07042" w:rsidP="00F07042">
      <w:pPr>
        <w:spacing w:line="360" w:lineRule="auto"/>
        <w:jc w:val="center"/>
        <w:rPr>
          <w:rFonts w:cstheme="minorHAnsi"/>
          <w:b/>
        </w:rPr>
      </w:pPr>
      <w:r w:rsidRPr="00991867">
        <w:rPr>
          <w:rFonts w:cstheme="minorHAnsi"/>
          <w:noProof/>
          <w:color w:val="0000FF"/>
        </w:rPr>
        <w:drawing>
          <wp:inline distT="0" distB="0" distL="0" distR="0" wp14:anchorId="2852069C" wp14:editId="6DD45062">
            <wp:extent cx="477940" cy="787179"/>
            <wp:effectExtent l="0" t="0" r="0" b="0"/>
            <wp:docPr id="2" name="irc_mi" descr="Képtalálat a következőre: „szekszárd megyei jogú város logó”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Képtalálat a következőre: „szekszárd megyei jogú város logó”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86261" cy="80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E06EA" w14:textId="77777777" w:rsidR="00F07042" w:rsidRPr="00991867" w:rsidRDefault="00F07042" w:rsidP="009918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91867">
        <w:rPr>
          <w:rFonts w:cstheme="minorHAnsi"/>
          <w:b/>
          <w:sz w:val="28"/>
          <w:szCs w:val="28"/>
        </w:rPr>
        <w:t>Szekszárd Megyei Jogú Város</w:t>
      </w:r>
    </w:p>
    <w:p w14:paraId="013C0F2F" w14:textId="3E99555B" w:rsidR="00F07042" w:rsidRPr="00991867" w:rsidRDefault="00F07042" w:rsidP="009918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91867">
        <w:rPr>
          <w:rFonts w:cstheme="minorHAnsi"/>
          <w:b/>
          <w:sz w:val="28"/>
          <w:szCs w:val="28"/>
        </w:rPr>
        <w:t>Polgármesteri Hivatal</w:t>
      </w:r>
      <w:r w:rsidR="00991867" w:rsidRPr="00991867">
        <w:rPr>
          <w:rFonts w:cstheme="minorHAnsi"/>
          <w:b/>
          <w:sz w:val="28"/>
          <w:szCs w:val="28"/>
        </w:rPr>
        <w:t>a</w:t>
      </w:r>
    </w:p>
    <w:p w14:paraId="1B6C4BEB" w14:textId="434EAD11" w:rsidR="00991867" w:rsidRPr="00991867" w:rsidRDefault="00991867" w:rsidP="009918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91867">
        <w:rPr>
          <w:rFonts w:cstheme="minorHAnsi"/>
          <w:b/>
          <w:sz w:val="28"/>
          <w:szCs w:val="28"/>
        </w:rPr>
        <w:t xml:space="preserve">és </w:t>
      </w:r>
    </w:p>
    <w:p w14:paraId="3C524B27" w14:textId="7FF76819" w:rsidR="00991867" w:rsidRPr="00991867" w:rsidRDefault="00991867" w:rsidP="009918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91867">
        <w:rPr>
          <w:rFonts w:cstheme="minorHAnsi"/>
          <w:b/>
          <w:sz w:val="28"/>
          <w:szCs w:val="28"/>
        </w:rPr>
        <w:t>Önkormányzata</w:t>
      </w:r>
    </w:p>
    <w:p w14:paraId="781F3F2F" w14:textId="77777777" w:rsidR="00F07042" w:rsidRPr="00991867" w:rsidRDefault="00F07042" w:rsidP="00F07042">
      <w:pPr>
        <w:spacing w:line="360" w:lineRule="auto"/>
        <w:jc w:val="center"/>
        <w:rPr>
          <w:rFonts w:cstheme="minorHAnsi"/>
          <w:b/>
        </w:rPr>
      </w:pPr>
    </w:p>
    <w:p w14:paraId="61C7E85B" w14:textId="77777777" w:rsidR="00F07042" w:rsidRPr="00991867" w:rsidRDefault="00F07042" w:rsidP="00F07042">
      <w:pPr>
        <w:spacing w:line="360" w:lineRule="auto"/>
        <w:jc w:val="center"/>
        <w:rPr>
          <w:rFonts w:cstheme="minorHAnsi"/>
          <w:b/>
        </w:rPr>
      </w:pPr>
    </w:p>
    <w:p w14:paraId="4D29E138" w14:textId="77777777" w:rsidR="00F07042" w:rsidRPr="00991867" w:rsidRDefault="00F07042" w:rsidP="00F07042">
      <w:pPr>
        <w:spacing w:line="360" w:lineRule="auto"/>
        <w:jc w:val="center"/>
        <w:rPr>
          <w:rFonts w:cstheme="minorHAnsi"/>
          <w:b/>
        </w:rPr>
      </w:pPr>
    </w:p>
    <w:p w14:paraId="5AB20C57" w14:textId="77777777" w:rsidR="00F07042" w:rsidRPr="00991867" w:rsidRDefault="00F07042" w:rsidP="009918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91867">
        <w:rPr>
          <w:rFonts w:cstheme="minorHAnsi"/>
          <w:b/>
          <w:sz w:val="28"/>
          <w:szCs w:val="28"/>
        </w:rPr>
        <w:t>Stratégiai ellenőrzési terv</w:t>
      </w:r>
    </w:p>
    <w:p w14:paraId="7B904E21" w14:textId="1AA13EA0" w:rsidR="003E0332" w:rsidRPr="00991867" w:rsidRDefault="00F07042" w:rsidP="009918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91867">
        <w:rPr>
          <w:rFonts w:cstheme="minorHAnsi"/>
          <w:b/>
          <w:sz w:val="28"/>
          <w:szCs w:val="28"/>
        </w:rPr>
        <w:t>20</w:t>
      </w:r>
      <w:r w:rsidR="0006190D" w:rsidRPr="00991867">
        <w:rPr>
          <w:rFonts w:cstheme="minorHAnsi"/>
          <w:b/>
          <w:sz w:val="28"/>
          <w:szCs w:val="28"/>
        </w:rPr>
        <w:t>22</w:t>
      </w:r>
      <w:r w:rsidRPr="00991867">
        <w:rPr>
          <w:rFonts w:cstheme="minorHAnsi"/>
          <w:b/>
          <w:sz w:val="28"/>
          <w:szCs w:val="28"/>
        </w:rPr>
        <w:t>-202</w:t>
      </w:r>
      <w:r w:rsidR="0006190D" w:rsidRPr="00991867">
        <w:rPr>
          <w:rFonts w:cstheme="minorHAnsi"/>
          <w:b/>
          <w:sz w:val="28"/>
          <w:szCs w:val="28"/>
        </w:rPr>
        <w:t>5</w:t>
      </w:r>
      <w:r w:rsidRPr="00991867">
        <w:rPr>
          <w:rFonts w:cstheme="minorHAnsi"/>
          <w:b/>
          <w:sz w:val="28"/>
          <w:szCs w:val="28"/>
        </w:rPr>
        <w:t>.</w:t>
      </w:r>
    </w:p>
    <w:p w14:paraId="6A1230BC" w14:textId="77777777" w:rsidR="003E0332" w:rsidRPr="00991867" w:rsidRDefault="003E0332" w:rsidP="003E0332">
      <w:pPr>
        <w:jc w:val="center"/>
        <w:rPr>
          <w:rFonts w:eastAsia="Times New Roman" w:cstheme="minorHAnsi"/>
          <w:b/>
          <w:bCs/>
          <w:color w:val="000000"/>
          <w:kern w:val="3"/>
          <w:sz w:val="28"/>
          <w:szCs w:val="28"/>
        </w:rPr>
      </w:pPr>
    </w:p>
    <w:p w14:paraId="56E49A1A" w14:textId="77777777" w:rsidR="00DE29EA" w:rsidRPr="00991867" w:rsidRDefault="00DE29EA" w:rsidP="003E0332">
      <w:pPr>
        <w:jc w:val="center"/>
        <w:rPr>
          <w:rFonts w:eastAsia="Times New Roman" w:cstheme="minorHAnsi"/>
          <w:b/>
          <w:bCs/>
          <w:color w:val="000000"/>
          <w:kern w:val="3"/>
          <w:sz w:val="28"/>
          <w:szCs w:val="28"/>
        </w:rPr>
      </w:pPr>
    </w:p>
    <w:p w14:paraId="07D4A765" w14:textId="0C9D71A3" w:rsidR="00DE29EA" w:rsidRDefault="00DE29EA" w:rsidP="00991867">
      <w:pPr>
        <w:rPr>
          <w:rFonts w:eastAsia="Times New Roman" w:cstheme="minorHAnsi"/>
          <w:b/>
          <w:bCs/>
          <w:color w:val="000000"/>
          <w:kern w:val="3"/>
          <w:sz w:val="28"/>
          <w:szCs w:val="28"/>
        </w:rPr>
      </w:pPr>
    </w:p>
    <w:p w14:paraId="0F1D21EE" w14:textId="77777777" w:rsidR="00991867" w:rsidRPr="00991867" w:rsidRDefault="00991867" w:rsidP="00991867">
      <w:pPr>
        <w:rPr>
          <w:rFonts w:eastAsia="Times New Roman" w:cstheme="minorHAnsi"/>
          <w:b/>
          <w:bCs/>
          <w:color w:val="000000"/>
          <w:kern w:val="3"/>
          <w:sz w:val="28"/>
          <w:szCs w:val="28"/>
        </w:rPr>
      </w:pPr>
    </w:p>
    <w:p w14:paraId="04267A81" w14:textId="43006BDD" w:rsidR="003E0332" w:rsidRPr="00991867" w:rsidRDefault="003E0332" w:rsidP="00991867">
      <w:pPr>
        <w:tabs>
          <w:tab w:val="center" w:pos="7088"/>
        </w:tabs>
        <w:jc w:val="center"/>
        <w:rPr>
          <w:rFonts w:eastAsia="Times New Roman" w:cstheme="minorHAnsi"/>
          <w:bCs/>
          <w:color w:val="000000"/>
          <w:kern w:val="3"/>
          <w:sz w:val="24"/>
          <w:szCs w:val="24"/>
        </w:rPr>
      </w:pPr>
    </w:p>
    <w:tbl>
      <w:tblPr>
        <w:tblStyle w:val="Rcsostblzat"/>
        <w:tblW w:w="510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7"/>
        <w:gridCol w:w="2976"/>
      </w:tblGrid>
      <w:tr w:rsidR="00DE29EA" w:rsidRPr="00991867" w14:paraId="6506E65D" w14:textId="77777777" w:rsidTr="00991867">
        <w:trPr>
          <w:jc w:val="center"/>
        </w:trPr>
        <w:tc>
          <w:tcPr>
            <w:tcW w:w="5103" w:type="dxa"/>
            <w:gridSpan w:val="2"/>
          </w:tcPr>
          <w:p w14:paraId="53364BCD" w14:textId="77777777" w:rsidR="00DE29EA" w:rsidRPr="00991867" w:rsidRDefault="00DE29EA" w:rsidP="00991867">
            <w:pPr>
              <w:tabs>
                <w:tab w:val="left" w:pos="4820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</w:pPr>
            <w:r w:rsidRPr="00991867"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  <w:t>Jóváhagyta a 370/2011. (XII.31.) Korm. rendelet 29. §. (1) bekezdés alapján:</w:t>
            </w:r>
          </w:p>
        </w:tc>
      </w:tr>
      <w:tr w:rsidR="00DE29EA" w:rsidRPr="00991867" w14:paraId="0689DB25" w14:textId="77777777" w:rsidTr="00991867">
        <w:trPr>
          <w:jc w:val="center"/>
        </w:trPr>
        <w:tc>
          <w:tcPr>
            <w:tcW w:w="2127" w:type="dxa"/>
          </w:tcPr>
          <w:p w14:paraId="54C07765" w14:textId="77777777" w:rsidR="00DE29EA" w:rsidRPr="00991867" w:rsidRDefault="00DE29EA" w:rsidP="003E0332">
            <w:pPr>
              <w:tabs>
                <w:tab w:val="center" w:pos="7088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</w:pPr>
            <w:r w:rsidRPr="00991867"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  <w:t xml:space="preserve">Név </w:t>
            </w:r>
          </w:p>
        </w:tc>
        <w:tc>
          <w:tcPr>
            <w:tcW w:w="2976" w:type="dxa"/>
          </w:tcPr>
          <w:p w14:paraId="76B12FF6" w14:textId="77777777" w:rsidR="00DE29EA" w:rsidRPr="00991867" w:rsidRDefault="00DE29EA" w:rsidP="003E0332">
            <w:pPr>
              <w:tabs>
                <w:tab w:val="center" w:pos="7088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</w:pPr>
            <w:r w:rsidRPr="00991867"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  <w:t>Aláírás</w:t>
            </w:r>
          </w:p>
        </w:tc>
      </w:tr>
      <w:tr w:rsidR="00DE29EA" w:rsidRPr="00991867" w14:paraId="1D9828A4" w14:textId="77777777" w:rsidTr="00991867">
        <w:trPr>
          <w:trHeight w:val="671"/>
          <w:jc w:val="center"/>
        </w:trPr>
        <w:tc>
          <w:tcPr>
            <w:tcW w:w="2127" w:type="dxa"/>
          </w:tcPr>
          <w:p w14:paraId="71A8C7C5" w14:textId="4CE144C3" w:rsidR="00DE29EA" w:rsidRPr="00991867" w:rsidRDefault="00DE29EA" w:rsidP="003E0332">
            <w:pPr>
              <w:tabs>
                <w:tab w:val="center" w:pos="7088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</w:pPr>
            <w:r w:rsidRPr="00991867"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  <w:t xml:space="preserve">dr. </w:t>
            </w:r>
            <w:r w:rsidR="0006190D" w:rsidRPr="00991867"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  <w:t>Gábor Fer</w:t>
            </w:r>
            <w:r w:rsidR="00991867" w:rsidRPr="00991867"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  <w:t>e</w:t>
            </w:r>
            <w:r w:rsidR="0006190D" w:rsidRPr="00991867"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  <w:t>nc</w:t>
            </w:r>
          </w:p>
          <w:p w14:paraId="7304CCA5" w14:textId="77777777" w:rsidR="00DE29EA" w:rsidRPr="00991867" w:rsidRDefault="00DE29EA" w:rsidP="003E0332">
            <w:pPr>
              <w:tabs>
                <w:tab w:val="center" w:pos="7088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</w:pPr>
            <w:r w:rsidRPr="00991867"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  <w:t>jegyző</w:t>
            </w:r>
          </w:p>
        </w:tc>
        <w:tc>
          <w:tcPr>
            <w:tcW w:w="2976" w:type="dxa"/>
          </w:tcPr>
          <w:p w14:paraId="1A2BCE5B" w14:textId="77777777" w:rsidR="00DE29EA" w:rsidRPr="00991867" w:rsidRDefault="00DE29EA" w:rsidP="003E0332">
            <w:pPr>
              <w:tabs>
                <w:tab w:val="center" w:pos="7088"/>
              </w:tabs>
              <w:jc w:val="center"/>
              <w:rPr>
                <w:rFonts w:eastAsia="Times New Roman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</w:tbl>
    <w:p w14:paraId="715BDC2A" w14:textId="77777777" w:rsidR="003E0332" w:rsidRPr="00991867" w:rsidRDefault="003E0332" w:rsidP="00013322">
      <w:pPr>
        <w:tabs>
          <w:tab w:val="center" w:pos="6379"/>
        </w:tabs>
        <w:rPr>
          <w:rFonts w:eastAsia="Times New Roman" w:cstheme="minorHAnsi"/>
          <w:bCs/>
          <w:color w:val="000000"/>
          <w:kern w:val="3"/>
          <w:sz w:val="24"/>
          <w:szCs w:val="24"/>
        </w:rPr>
      </w:pPr>
    </w:p>
    <w:p w14:paraId="6C1A2720" w14:textId="0236D33B" w:rsidR="0090432B" w:rsidRPr="00991867" w:rsidRDefault="0090432B" w:rsidP="0090432B">
      <w:pPr>
        <w:rPr>
          <w:rFonts w:eastAsia="Times New Roman" w:cstheme="minorHAnsi"/>
          <w:bCs/>
          <w:color w:val="000000"/>
          <w:kern w:val="3"/>
          <w:sz w:val="24"/>
          <w:szCs w:val="24"/>
        </w:rPr>
      </w:pPr>
    </w:p>
    <w:sdt>
      <w:sdtPr>
        <w:rPr>
          <w:rFonts w:asciiTheme="minorHAnsi" w:eastAsiaTheme="minorEastAsia" w:hAnsiTheme="minorHAnsi" w:cstheme="minorHAnsi"/>
          <w:b w:val="0"/>
          <w:bCs w:val="0"/>
          <w:color w:val="auto"/>
          <w:sz w:val="22"/>
          <w:szCs w:val="22"/>
          <w:lang w:eastAsia="hu-HU"/>
        </w:rPr>
        <w:id w:val="1418902240"/>
        <w:docPartObj>
          <w:docPartGallery w:val="Table of Contents"/>
          <w:docPartUnique/>
        </w:docPartObj>
      </w:sdtPr>
      <w:sdtEndPr/>
      <w:sdtContent>
        <w:p w14:paraId="425BD7CF" w14:textId="77777777" w:rsidR="0090432B" w:rsidRPr="00991867" w:rsidRDefault="0090432B">
          <w:pPr>
            <w:pStyle w:val="Tartalomjegyzkcmsora"/>
            <w:rPr>
              <w:rFonts w:asciiTheme="minorHAnsi" w:hAnsiTheme="minorHAnsi" w:cstheme="minorHAnsi"/>
              <w:color w:val="auto"/>
              <w:sz w:val="24"/>
              <w:szCs w:val="24"/>
            </w:rPr>
          </w:pPr>
          <w:r w:rsidRPr="00991867">
            <w:rPr>
              <w:rFonts w:asciiTheme="minorHAnsi" w:hAnsiTheme="minorHAnsi" w:cstheme="minorHAnsi"/>
              <w:color w:val="auto"/>
              <w:sz w:val="24"/>
              <w:szCs w:val="24"/>
            </w:rPr>
            <w:t>Tartalomjegyzék</w:t>
          </w:r>
        </w:p>
        <w:p w14:paraId="5872EA4D" w14:textId="77777777" w:rsidR="0090432B" w:rsidRPr="00991867" w:rsidRDefault="0090432B" w:rsidP="0090432B">
          <w:pPr>
            <w:rPr>
              <w:rFonts w:cstheme="minorHAnsi"/>
              <w:lang w:eastAsia="en-US"/>
            </w:rPr>
          </w:pPr>
        </w:p>
        <w:p w14:paraId="4B937E76" w14:textId="0AA2FAE2" w:rsidR="0090432B" w:rsidRPr="00991867" w:rsidRDefault="0090432B">
          <w:pPr>
            <w:pStyle w:val="TJ1"/>
            <w:tabs>
              <w:tab w:val="right" w:leader="dot" w:pos="9062"/>
            </w:tabs>
            <w:rPr>
              <w:rStyle w:val="Hiperhivatkozs"/>
              <w:rFonts w:cstheme="minorHAnsi"/>
              <w:noProof/>
              <w:sz w:val="24"/>
              <w:szCs w:val="24"/>
            </w:rPr>
          </w:pPr>
          <w:r w:rsidRPr="00991867">
            <w:rPr>
              <w:rFonts w:cstheme="minorHAnsi"/>
              <w:sz w:val="24"/>
              <w:szCs w:val="24"/>
            </w:rPr>
            <w:fldChar w:fldCharType="begin"/>
          </w:r>
          <w:r w:rsidRPr="00991867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991867">
            <w:rPr>
              <w:rFonts w:cstheme="minorHAnsi"/>
              <w:sz w:val="24"/>
              <w:szCs w:val="24"/>
            </w:rPr>
            <w:fldChar w:fldCharType="separate"/>
          </w:r>
          <w:hyperlink w:anchor="_Toc500411763" w:history="1">
            <w:r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Bevezető</w:t>
            </w:r>
            <w:r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_Toc500411763 \h </w:instrText>
            </w:r>
            <w:r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2</w:t>
            </w:r>
            <w:r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6763AF" w14:textId="77777777" w:rsidR="0090432B" w:rsidRPr="00991867" w:rsidRDefault="0090432B" w:rsidP="0090432B">
          <w:pPr>
            <w:rPr>
              <w:rFonts w:cstheme="minorHAnsi"/>
              <w:noProof/>
            </w:rPr>
          </w:pPr>
        </w:p>
        <w:p w14:paraId="3D682337" w14:textId="69A4562C" w:rsidR="0090432B" w:rsidRPr="00991867" w:rsidRDefault="003E3F41" w:rsidP="0090432B">
          <w:pPr>
            <w:pStyle w:val="TJ1"/>
            <w:tabs>
              <w:tab w:val="left" w:pos="440"/>
              <w:tab w:val="right" w:leader="dot" w:pos="9062"/>
            </w:tabs>
            <w:rPr>
              <w:rFonts w:cstheme="minorHAnsi"/>
              <w:noProof/>
              <w:color w:val="0000FF" w:themeColor="hyperlink"/>
              <w:sz w:val="24"/>
              <w:szCs w:val="24"/>
              <w:u w:val="single"/>
            </w:rPr>
          </w:pPr>
          <w:hyperlink w:anchor="_Toc500411764" w:history="1"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1.</w:t>
            </w:r>
            <w:r w:rsidR="0090432B" w:rsidRPr="00991867">
              <w:rPr>
                <w:rFonts w:cstheme="minorHAnsi"/>
                <w:noProof/>
                <w:sz w:val="24"/>
                <w:szCs w:val="24"/>
              </w:rPr>
              <w:tab/>
            </w:r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Hosszú távú célkitűzések, stratégiai célok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_Toc500411764 \h </w:instrTex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2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1BCB85" w14:textId="5D95F1F7" w:rsidR="0090432B" w:rsidRPr="00991867" w:rsidRDefault="003E3F41" w:rsidP="0090432B">
          <w:pPr>
            <w:pStyle w:val="TJ1"/>
            <w:tabs>
              <w:tab w:val="left" w:pos="440"/>
              <w:tab w:val="right" w:leader="dot" w:pos="9062"/>
            </w:tabs>
            <w:rPr>
              <w:rFonts w:cstheme="minorHAnsi"/>
              <w:noProof/>
              <w:color w:val="0000FF" w:themeColor="hyperlink"/>
              <w:sz w:val="24"/>
              <w:szCs w:val="24"/>
              <w:u w:val="single"/>
            </w:rPr>
          </w:pPr>
          <w:hyperlink w:anchor="_Toc500411765" w:history="1"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2.</w:t>
            </w:r>
            <w:r w:rsidR="0090432B" w:rsidRPr="00991867">
              <w:rPr>
                <w:rFonts w:cstheme="minorHAnsi"/>
                <w:noProof/>
                <w:sz w:val="24"/>
                <w:szCs w:val="24"/>
              </w:rPr>
              <w:tab/>
            </w:r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Kockázati tényezők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_Toc500411765 \h </w:instrTex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4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5BA5A7" w14:textId="3139BD96" w:rsidR="0090432B" w:rsidRPr="00991867" w:rsidRDefault="003E3F41" w:rsidP="0090432B">
          <w:pPr>
            <w:pStyle w:val="TJ1"/>
            <w:tabs>
              <w:tab w:val="left" w:pos="440"/>
              <w:tab w:val="right" w:leader="dot" w:pos="9062"/>
            </w:tabs>
            <w:rPr>
              <w:rFonts w:cstheme="minorHAnsi"/>
              <w:noProof/>
              <w:color w:val="0000FF" w:themeColor="hyperlink"/>
              <w:sz w:val="24"/>
              <w:szCs w:val="24"/>
              <w:u w:val="single"/>
            </w:rPr>
          </w:pPr>
          <w:hyperlink w:anchor="_Toc500411766" w:history="1"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3.</w:t>
            </w:r>
            <w:r w:rsidR="0090432B" w:rsidRPr="00991867">
              <w:rPr>
                <w:rFonts w:cstheme="minorHAnsi"/>
                <w:noProof/>
                <w:sz w:val="24"/>
                <w:szCs w:val="24"/>
              </w:rPr>
              <w:tab/>
            </w:r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A belső ellenőrzés erőforrásai (létszám, képzettség, tárgyi feltételek)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_Toc500411766 \h </w:instrTex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5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EEC690" w14:textId="48B39AE0" w:rsidR="0090432B" w:rsidRPr="00991867" w:rsidRDefault="003E3F41">
          <w:pPr>
            <w:pStyle w:val="TJ1"/>
            <w:tabs>
              <w:tab w:val="left" w:pos="440"/>
              <w:tab w:val="right" w:leader="dot" w:pos="9062"/>
            </w:tabs>
            <w:rPr>
              <w:rFonts w:cstheme="minorHAnsi"/>
              <w:noProof/>
              <w:sz w:val="24"/>
              <w:szCs w:val="24"/>
            </w:rPr>
          </w:pPr>
          <w:hyperlink w:anchor="_Toc500411767" w:history="1"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4.</w:t>
            </w:r>
            <w:r w:rsidR="0090432B" w:rsidRPr="00991867">
              <w:rPr>
                <w:rFonts w:cstheme="minorHAnsi"/>
                <w:noProof/>
                <w:sz w:val="24"/>
                <w:szCs w:val="24"/>
              </w:rPr>
              <w:tab/>
            </w:r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Belső ellenőrzésre vonatkozó fejlesztési és képzési terv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_Toc500411767 \h </w:instrTex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5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448CC8" w14:textId="7A60D11C" w:rsidR="0090432B" w:rsidRPr="00991867" w:rsidRDefault="003E3F41">
          <w:pPr>
            <w:pStyle w:val="TJ1"/>
            <w:tabs>
              <w:tab w:val="left" w:pos="440"/>
              <w:tab w:val="right" w:leader="dot" w:pos="9062"/>
            </w:tabs>
            <w:rPr>
              <w:rFonts w:cstheme="minorHAnsi"/>
              <w:noProof/>
              <w:sz w:val="24"/>
              <w:szCs w:val="24"/>
            </w:rPr>
          </w:pPr>
          <w:hyperlink w:anchor="_Toc500411768" w:history="1"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5.</w:t>
            </w:r>
            <w:r w:rsidR="0090432B" w:rsidRPr="00991867">
              <w:rPr>
                <w:rFonts w:cstheme="minorHAnsi"/>
                <w:noProof/>
                <w:sz w:val="24"/>
                <w:szCs w:val="24"/>
              </w:rPr>
              <w:tab/>
            </w:r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Belső kontrollrendszer általános értékelése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_Toc500411768 \h </w:instrTex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5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D9A1E8" w14:textId="4D16295B" w:rsidR="0090432B" w:rsidRPr="00991867" w:rsidRDefault="003E3F41">
          <w:pPr>
            <w:pStyle w:val="TJ2"/>
            <w:tabs>
              <w:tab w:val="left" w:pos="880"/>
              <w:tab w:val="right" w:leader="dot" w:pos="9062"/>
            </w:tabs>
            <w:rPr>
              <w:rFonts w:cstheme="minorHAnsi"/>
              <w:noProof/>
              <w:sz w:val="24"/>
              <w:szCs w:val="24"/>
            </w:rPr>
          </w:pPr>
          <w:hyperlink w:anchor="_Toc500411769" w:history="1">
            <w:r w:rsidR="0090432B" w:rsidRPr="00991867">
              <w:rPr>
                <w:rStyle w:val="Hiperhivatkozs"/>
                <w:rFonts w:cstheme="minorHAnsi"/>
                <w:i/>
                <w:noProof/>
                <w:sz w:val="24"/>
                <w:szCs w:val="24"/>
              </w:rPr>
              <w:t>5.1.</w:t>
            </w:r>
            <w:r w:rsidR="0090432B" w:rsidRPr="00991867">
              <w:rPr>
                <w:rFonts w:cstheme="minorHAnsi"/>
                <w:noProof/>
                <w:sz w:val="24"/>
                <w:szCs w:val="24"/>
              </w:rPr>
              <w:tab/>
            </w:r>
            <w:r w:rsidR="0090432B" w:rsidRPr="00991867">
              <w:rPr>
                <w:rStyle w:val="Hiperhivatkozs"/>
                <w:rFonts w:cstheme="minorHAnsi"/>
                <w:i/>
                <w:noProof/>
                <w:sz w:val="24"/>
                <w:szCs w:val="24"/>
              </w:rPr>
              <w:t>Kontrollkörnyezet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_Toc500411769 \h </w:instrTex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6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252589" w14:textId="48F197EC" w:rsidR="0090432B" w:rsidRPr="00991867" w:rsidRDefault="003E3F41">
          <w:pPr>
            <w:pStyle w:val="TJ2"/>
            <w:tabs>
              <w:tab w:val="left" w:pos="880"/>
              <w:tab w:val="right" w:leader="dot" w:pos="9062"/>
            </w:tabs>
            <w:rPr>
              <w:rFonts w:cstheme="minorHAnsi"/>
              <w:noProof/>
              <w:sz w:val="24"/>
              <w:szCs w:val="24"/>
            </w:rPr>
          </w:pPr>
          <w:hyperlink w:anchor="_Toc500411770" w:history="1">
            <w:r w:rsidR="0090432B" w:rsidRPr="00991867">
              <w:rPr>
                <w:rStyle w:val="Hiperhivatkozs"/>
                <w:rFonts w:eastAsia="Times New Roman" w:cstheme="minorHAnsi"/>
                <w:i/>
                <w:noProof/>
                <w:sz w:val="24"/>
                <w:szCs w:val="24"/>
              </w:rPr>
              <w:t>5.2.</w:t>
            </w:r>
            <w:r w:rsidR="0090432B" w:rsidRPr="00991867">
              <w:rPr>
                <w:rFonts w:cstheme="minorHAnsi"/>
                <w:noProof/>
                <w:sz w:val="24"/>
                <w:szCs w:val="24"/>
              </w:rPr>
              <w:tab/>
            </w:r>
            <w:r w:rsidR="0090432B" w:rsidRPr="00991867">
              <w:rPr>
                <w:rStyle w:val="Hiperhivatkozs"/>
                <w:rFonts w:eastAsia="Times New Roman" w:cstheme="minorHAnsi"/>
                <w:i/>
                <w:noProof/>
                <w:sz w:val="24"/>
                <w:szCs w:val="24"/>
              </w:rPr>
              <w:t>Kockázatkezelési rendszer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_Toc500411770 \h </w:instrTex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6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1DD3F5" w14:textId="314DF9AA" w:rsidR="0090432B" w:rsidRPr="00991867" w:rsidRDefault="003E3F41">
          <w:pPr>
            <w:pStyle w:val="TJ2"/>
            <w:tabs>
              <w:tab w:val="left" w:pos="880"/>
              <w:tab w:val="right" w:leader="dot" w:pos="9062"/>
            </w:tabs>
            <w:rPr>
              <w:rFonts w:cstheme="minorHAnsi"/>
              <w:noProof/>
              <w:sz w:val="24"/>
              <w:szCs w:val="24"/>
            </w:rPr>
          </w:pPr>
          <w:hyperlink w:anchor="_Toc500411771" w:history="1">
            <w:r w:rsidR="0090432B" w:rsidRPr="00991867">
              <w:rPr>
                <w:rStyle w:val="Hiperhivatkozs"/>
                <w:rFonts w:cstheme="minorHAnsi"/>
                <w:i/>
                <w:noProof/>
                <w:sz w:val="24"/>
                <w:szCs w:val="24"/>
              </w:rPr>
              <w:t>5.3.</w:t>
            </w:r>
            <w:r w:rsidR="0090432B" w:rsidRPr="00991867">
              <w:rPr>
                <w:rFonts w:cstheme="minorHAnsi"/>
                <w:noProof/>
                <w:sz w:val="24"/>
                <w:szCs w:val="24"/>
              </w:rPr>
              <w:tab/>
            </w:r>
            <w:r w:rsidR="0090432B" w:rsidRPr="00991867">
              <w:rPr>
                <w:rStyle w:val="Hiperhivatkozs"/>
                <w:rFonts w:cstheme="minorHAnsi"/>
                <w:i/>
                <w:noProof/>
                <w:sz w:val="24"/>
                <w:szCs w:val="24"/>
              </w:rPr>
              <w:t>Kontrolltevékenységek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_Toc500411771 \h </w:instrTex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7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593A04" w14:textId="69305827" w:rsidR="0090432B" w:rsidRPr="00991867" w:rsidRDefault="003E3F41">
          <w:pPr>
            <w:pStyle w:val="TJ2"/>
            <w:tabs>
              <w:tab w:val="left" w:pos="880"/>
              <w:tab w:val="right" w:leader="dot" w:pos="9062"/>
            </w:tabs>
            <w:rPr>
              <w:rFonts w:cstheme="minorHAnsi"/>
              <w:noProof/>
              <w:sz w:val="24"/>
              <w:szCs w:val="24"/>
            </w:rPr>
          </w:pPr>
          <w:hyperlink w:anchor="_Toc500411772" w:history="1">
            <w:r w:rsidR="0090432B" w:rsidRPr="00991867">
              <w:rPr>
                <w:rStyle w:val="Hiperhivatkozs"/>
                <w:rFonts w:eastAsia="Times New Roman" w:cstheme="minorHAnsi"/>
                <w:i/>
                <w:noProof/>
                <w:sz w:val="24"/>
                <w:szCs w:val="24"/>
              </w:rPr>
              <w:t>5.4.</w:t>
            </w:r>
            <w:r w:rsidR="0090432B" w:rsidRPr="00991867">
              <w:rPr>
                <w:rFonts w:cstheme="minorHAnsi"/>
                <w:noProof/>
                <w:sz w:val="24"/>
                <w:szCs w:val="24"/>
              </w:rPr>
              <w:tab/>
            </w:r>
            <w:r w:rsidR="0090432B" w:rsidRPr="00991867">
              <w:rPr>
                <w:rStyle w:val="Hiperhivatkozs"/>
                <w:rFonts w:eastAsia="Times New Roman" w:cstheme="minorHAnsi"/>
                <w:i/>
                <w:noProof/>
                <w:sz w:val="24"/>
                <w:szCs w:val="24"/>
              </w:rPr>
              <w:t>Információs és kommunikációs rendszer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_Toc500411772 \h </w:instrTex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7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138764" w14:textId="65D7A441" w:rsidR="0090432B" w:rsidRPr="00991867" w:rsidRDefault="003E3F41">
          <w:pPr>
            <w:pStyle w:val="TJ2"/>
            <w:tabs>
              <w:tab w:val="right" w:leader="dot" w:pos="9062"/>
            </w:tabs>
            <w:rPr>
              <w:rFonts w:cstheme="minorHAnsi"/>
              <w:noProof/>
              <w:sz w:val="24"/>
              <w:szCs w:val="24"/>
            </w:rPr>
          </w:pPr>
          <w:hyperlink w:anchor="_Toc500411773" w:history="1">
            <w:r w:rsidR="0090432B" w:rsidRPr="00991867">
              <w:rPr>
                <w:rStyle w:val="Hiperhivatkozs"/>
                <w:rFonts w:eastAsia="Times New Roman" w:cstheme="minorHAnsi"/>
                <w:i/>
                <w:noProof/>
                <w:sz w:val="24"/>
                <w:szCs w:val="24"/>
              </w:rPr>
              <w:t>5.5 Nyomon követés (monitoring)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_Toc500411773 \h </w:instrTex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8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3DDC4C" w14:textId="77D95268" w:rsidR="0090432B" w:rsidRPr="00991867" w:rsidRDefault="003E3F41">
          <w:pPr>
            <w:pStyle w:val="TJ1"/>
            <w:tabs>
              <w:tab w:val="left" w:pos="440"/>
              <w:tab w:val="right" w:leader="dot" w:pos="9062"/>
            </w:tabs>
            <w:rPr>
              <w:rFonts w:cstheme="minorHAnsi"/>
              <w:noProof/>
              <w:sz w:val="24"/>
              <w:szCs w:val="24"/>
            </w:rPr>
          </w:pPr>
          <w:hyperlink w:anchor="_Toc500411774" w:history="1"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6.</w:t>
            </w:r>
            <w:r w:rsidR="0090432B" w:rsidRPr="00991867">
              <w:rPr>
                <w:rFonts w:cstheme="minorHAnsi"/>
                <w:noProof/>
                <w:sz w:val="24"/>
                <w:szCs w:val="24"/>
              </w:rPr>
              <w:tab/>
            </w:r>
            <w:r w:rsidR="0090432B" w:rsidRPr="00991867">
              <w:rPr>
                <w:rStyle w:val="Hiperhivatkozs"/>
                <w:rFonts w:cstheme="minorHAnsi"/>
                <w:noProof/>
                <w:sz w:val="24"/>
                <w:szCs w:val="24"/>
              </w:rPr>
              <w:t>Az ellenőrzés prioritási és az ellenőrzési gyakoriság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tab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begin"/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instrText xml:space="preserve"> PAGEREF _Toc500411774 \h </w:instrTex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separate"/>
            </w:r>
            <w:r w:rsidR="007F342C">
              <w:rPr>
                <w:rFonts w:cstheme="minorHAnsi"/>
                <w:noProof/>
                <w:webHidden/>
                <w:sz w:val="24"/>
                <w:szCs w:val="24"/>
              </w:rPr>
              <w:t>8</w:t>
            </w:r>
            <w:r w:rsidR="0090432B" w:rsidRPr="00991867">
              <w:rPr>
                <w:rFonts w:cstheme="min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3928B2" w14:textId="77777777" w:rsidR="0090432B" w:rsidRPr="00991867" w:rsidRDefault="0090432B">
          <w:pPr>
            <w:rPr>
              <w:rFonts w:cstheme="minorHAnsi"/>
            </w:rPr>
          </w:pPr>
          <w:r w:rsidRPr="00991867">
            <w:rPr>
              <w:rFonts w:cstheme="minorHAnsi"/>
              <w:bCs/>
              <w:sz w:val="24"/>
              <w:szCs w:val="24"/>
            </w:rPr>
            <w:fldChar w:fldCharType="end"/>
          </w:r>
        </w:p>
      </w:sdtContent>
    </w:sdt>
    <w:p w14:paraId="15DB33BF" w14:textId="77777777" w:rsidR="0090432B" w:rsidRPr="00991867" w:rsidRDefault="0090432B">
      <w:pPr>
        <w:rPr>
          <w:rFonts w:eastAsia="Times New Roman" w:cstheme="minorHAnsi"/>
          <w:b/>
          <w:bCs/>
          <w:color w:val="000000"/>
          <w:kern w:val="3"/>
          <w:sz w:val="24"/>
          <w:szCs w:val="24"/>
          <w:u w:val="single"/>
        </w:rPr>
      </w:pPr>
      <w:bookmarkStart w:id="4" w:name="_Toc500411763"/>
      <w:r w:rsidRPr="00991867">
        <w:rPr>
          <w:rFonts w:cstheme="minorHAnsi"/>
          <w:sz w:val="24"/>
          <w:szCs w:val="24"/>
          <w:u w:val="single"/>
        </w:rPr>
        <w:br w:type="page"/>
      </w:r>
    </w:p>
    <w:p w14:paraId="155CDC43" w14:textId="77777777" w:rsidR="00013322" w:rsidRPr="00991867" w:rsidRDefault="0090432B" w:rsidP="0090432B">
      <w:pPr>
        <w:pStyle w:val="Cmsor1"/>
        <w:numPr>
          <w:ilvl w:val="0"/>
          <w:numId w:val="0"/>
        </w:numPr>
        <w:jc w:val="left"/>
        <w:rPr>
          <w:rFonts w:cstheme="minorHAnsi"/>
          <w:sz w:val="24"/>
          <w:szCs w:val="24"/>
          <w:u w:val="single"/>
        </w:rPr>
      </w:pPr>
      <w:r w:rsidRPr="00991867">
        <w:rPr>
          <w:rFonts w:cstheme="minorHAnsi"/>
          <w:sz w:val="24"/>
          <w:szCs w:val="24"/>
          <w:u w:val="single"/>
        </w:rPr>
        <w:lastRenderedPageBreak/>
        <w:t>Bevezető</w:t>
      </w:r>
      <w:bookmarkEnd w:id="4"/>
    </w:p>
    <w:p w14:paraId="267AC0D2" w14:textId="77777777" w:rsidR="00013322" w:rsidRPr="00991867" w:rsidRDefault="00013322" w:rsidP="007705FD">
      <w:pPr>
        <w:spacing w:after="0" w:line="360" w:lineRule="auto"/>
        <w:rPr>
          <w:rFonts w:cstheme="minorHAnsi"/>
          <w:sz w:val="24"/>
          <w:szCs w:val="24"/>
        </w:rPr>
      </w:pPr>
    </w:p>
    <w:p w14:paraId="4E4400E5" w14:textId="41ED696D" w:rsidR="00DB0922" w:rsidRPr="00991867" w:rsidRDefault="00DB0922" w:rsidP="008E1D1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 xml:space="preserve">A költségvetési szervek belső kontrollrendszeréről és belső ellenőrzésről szóló 370/2011. (XII.31.) Kormányrendelet </w:t>
      </w:r>
      <w:r w:rsidR="007E1094">
        <w:rPr>
          <w:rFonts w:cstheme="minorHAnsi"/>
          <w:sz w:val="24"/>
          <w:szCs w:val="24"/>
        </w:rPr>
        <w:t xml:space="preserve">(továbbiakban: </w:t>
      </w:r>
      <w:proofErr w:type="spellStart"/>
      <w:r w:rsidR="007E1094">
        <w:rPr>
          <w:rFonts w:cstheme="minorHAnsi"/>
          <w:sz w:val="24"/>
          <w:szCs w:val="24"/>
        </w:rPr>
        <w:t>Bkr</w:t>
      </w:r>
      <w:proofErr w:type="spellEnd"/>
      <w:r w:rsidR="007E1094">
        <w:rPr>
          <w:rFonts w:cstheme="minorHAnsi"/>
          <w:sz w:val="24"/>
          <w:szCs w:val="24"/>
        </w:rPr>
        <w:t xml:space="preserve">.) </w:t>
      </w:r>
      <w:r w:rsidRPr="00991867">
        <w:rPr>
          <w:rFonts w:cstheme="minorHAnsi"/>
          <w:sz w:val="24"/>
          <w:szCs w:val="24"/>
        </w:rPr>
        <w:t xml:space="preserve">értelmében </w:t>
      </w:r>
      <w:r w:rsidR="006A5485">
        <w:rPr>
          <w:rFonts w:cstheme="minorHAnsi"/>
          <w:sz w:val="24"/>
          <w:szCs w:val="24"/>
        </w:rPr>
        <w:t xml:space="preserve">az ellenőrzési munka megtervezéséhez </w:t>
      </w:r>
      <w:r w:rsidRPr="00991867">
        <w:rPr>
          <w:rFonts w:cstheme="minorHAnsi"/>
          <w:sz w:val="24"/>
          <w:szCs w:val="24"/>
        </w:rPr>
        <w:t>a belső ellenőrzési vezető kockázatelemzés alapján stratégiai ellenőrzési tervet készít, melyet a költségvetési szerv vezetője hagy jóvá.</w:t>
      </w:r>
    </w:p>
    <w:p w14:paraId="21E32B68" w14:textId="77777777" w:rsidR="00013322" w:rsidRPr="00991867" w:rsidRDefault="00013322" w:rsidP="007705FD">
      <w:pPr>
        <w:spacing w:after="0" w:line="360" w:lineRule="auto"/>
        <w:rPr>
          <w:rFonts w:cstheme="minorHAnsi"/>
          <w:sz w:val="24"/>
          <w:szCs w:val="24"/>
        </w:rPr>
      </w:pPr>
    </w:p>
    <w:p w14:paraId="230502EF" w14:textId="673B5FD5" w:rsidR="00013322" w:rsidRPr="00991867" w:rsidRDefault="00013322" w:rsidP="007F342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 xml:space="preserve">Szekszárd Megyei Jogú Város Polgármesteri Hivatala </w:t>
      </w:r>
      <w:r w:rsidR="007E1094">
        <w:rPr>
          <w:rFonts w:cstheme="minorHAnsi"/>
          <w:sz w:val="24"/>
          <w:szCs w:val="24"/>
        </w:rPr>
        <w:t xml:space="preserve">és Önkormányzata Stratégiai ellenőrzési terve 2022-2025. évre a </w:t>
      </w:r>
      <w:proofErr w:type="spellStart"/>
      <w:r w:rsidR="007E1094">
        <w:rPr>
          <w:rFonts w:cstheme="minorHAnsi"/>
          <w:sz w:val="24"/>
          <w:szCs w:val="24"/>
        </w:rPr>
        <w:t>Bkr</w:t>
      </w:r>
      <w:proofErr w:type="spellEnd"/>
      <w:r w:rsidR="007E1094">
        <w:rPr>
          <w:rFonts w:cstheme="minorHAnsi"/>
          <w:sz w:val="24"/>
          <w:szCs w:val="24"/>
        </w:rPr>
        <w:t xml:space="preserve">. 30. §. (1) bekezdés alapján, az önkormányzati stratégiai célokkal összhangban, a következő négy évre szól. A </w:t>
      </w:r>
      <w:r w:rsidRPr="00991867">
        <w:rPr>
          <w:rFonts w:cstheme="minorHAnsi"/>
          <w:sz w:val="24"/>
          <w:szCs w:val="24"/>
        </w:rPr>
        <w:t>belső ellenőrzés célja, hogy szilárd szakmai alapokon álló ellenőrzéseivel előmozdítsa a közpénzügyek átláthatóságát, a feladatellátás gazdaságos és hatékony ellátását.</w:t>
      </w:r>
    </w:p>
    <w:p w14:paraId="124E4F9D" w14:textId="77777777" w:rsidR="00DB0922" w:rsidRPr="00991867" w:rsidRDefault="00DB0922" w:rsidP="007705FD">
      <w:pPr>
        <w:spacing w:after="0" w:line="360" w:lineRule="auto"/>
        <w:rPr>
          <w:rFonts w:cstheme="minorHAnsi"/>
          <w:sz w:val="24"/>
          <w:szCs w:val="24"/>
        </w:rPr>
      </w:pPr>
    </w:p>
    <w:p w14:paraId="6150E3C5" w14:textId="77777777" w:rsidR="001F01E6" w:rsidRPr="00991867" w:rsidRDefault="00E2651D" w:rsidP="0090432B">
      <w:pPr>
        <w:pStyle w:val="Listaszerbekezds"/>
        <w:numPr>
          <w:ilvl w:val="0"/>
          <w:numId w:val="3"/>
        </w:numPr>
        <w:spacing w:after="0" w:line="360" w:lineRule="auto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bookmarkStart w:id="5" w:name="_Toc500411764"/>
      <w:r w:rsidRPr="00991867">
        <w:rPr>
          <w:rFonts w:cstheme="minorHAnsi"/>
          <w:b/>
          <w:sz w:val="24"/>
          <w:szCs w:val="24"/>
        </w:rPr>
        <w:t>Hosszú távú célkitűzések, stratégiai célo</w:t>
      </w:r>
      <w:r w:rsidR="001F01E6" w:rsidRPr="00991867">
        <w:rPr>
          <w:rFonts w:cstheme="minorHAnsi"/>
          <w:b/>
          <w:sz w:val="24"/>
          <w:szCs w:val="24"/>
        </w:rPr>
        <w:t>k</w:t>
      </w:r>
      <w:bookmarkEnd w:id="5"/>
    </w:p>
    <w:p w14:paraId="773EDD12" w14:textId="77777777" w:rsidR="007705FD" w:rsidRPr="00991867" w:rsidRDefault="007705FD" w:rsidP="007705FD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41B3F9F1" w14:textId="0A67FF12" w:rsidR="00001E50" w:rsidRPr="00991867" w:rsidRDefault="00013322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A stratégiai ellenőrzési terv az elkövetkező évek ellenőrzéseire határoz meg főbb irányvonalakat</w:t>
      </w:r>
      <w:r w:rsidR="00001E50" w:rsidRPr="00991867">
        <w:rPr>
          <w:rFonts w:cstheme="minorHAnsi"/>
          <w:sz w:val="24"/>
          <w:szCs w:val="24"/>
        </w:rPr>
        <w:t>, amelyek az éves ellenőrzési tervekben kerülnek feladatonként szétbontásra.</w:t>
      </w:r>
      <w:r w:rsidR="00E2651D" w:rsidRPr="00991867">
        <w:rPr>
          <w:rFonts w:cstheme="minorHAnsi"/>
          <w:sz w:val="24"/>
          <w:szCs w:val="24"/>
        </w:rPr>
        <w:t xml:space="preserve"> </w:t>
      </w:r>
    </w:p>
    <w:p w14:paraId="30887CE0" w14:textId="5FCFABD9" w:rsidR="00A0644D" w:rsidRPr="00991867" w:rsidRDefault="00001E50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A belső ellenőrzés feladata</w:t>
      </w:r>
      <w:r w:rsidR="00A0644D" w:rsidRPr="00991867">
        <w:rPr>
          <w:rFonts w:cstheme="minorHAnsi"/>
          <w:sz w:val="24"/>
          <w:szCs w:val="24"/>
        </w:rPr>
        <w:t>, hogy független, bizonyosságot adó tevékenységével segítse a hivatal vezetését, továbbá az önkormányzat többségi tulajdonában álló gazdasági társaságok é</w:t>
      </w:r>
      <w:r w:rsidR="00134F12" w:rsidRPr="00991867">
        <w:rPr>
          <w:rFonts w:cstheme="minorHAnsi"/>
          <w:sz w:val="24"/>
          <w:szCs w:val="24"/>
        </w:rPr>
        <w:t>s</w:t>
      </w:r>
      <w:r w:rsidR="007E1094">
        <w:rPr>
          <w:rFonts w:cstheme="minorHAnsi"/>
          <w:sz w:val="24"/>
          <w:szCs w:val="24"/>
        </w:rPr>
        <w:t xml:space="preserve"> az</w:t>
      </w:r>
      <w:r w:rsidR="00A0644D" w:rsidRPr="00991867">
        <w:rPr>
          <w:rFonts w:cstheme="minorHAnsi"/>
          <w:sz w:val="24"/>
          <w:szCs w:val="24"/>
        </w:rPr>
        <w:t xml:space="preserve"> önkormányzat</w:t>
      </w:r>
      <w:r w:rsidR="007E1094">
        <w:rPr>
          <w:rFonts w:cstheme="minorHAnsi"/>
          <w:sz w:val="24"/>
          <w:szCs w:val="24"/>
        </w:rPr>
        <w:t xml:space="preserve">, önkormányzat társulásai fenntartásában lévő </w:t>
      </w:r>
      <w:r w:rsidR="00A0644D" w:rsidRPr="00991867">
        <w:rPr>
          <w:rFonts w:cstheme="minorHAnsi"/>
          <w:sz w:val="24"/>
          <w:szCs w:val="24"/>
        </w:rPr>
        <w:t>költségvetési szervek működésének hatékonyságát javítsa.</w:t>
      </w:r>
    </w:p>
    <w:p w14:paraId="7F2B6D8B" w14:textId="77777777" w:rsidR="00E2651D" w:rsidRPr="00991867" w:rsidRDefault="00001E50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 xml:space="preserve">Az </w:t>
      </w:r>
      <w:r w:rsidR="00E2651D" w:rsidRPr="00991867">
        <w:rPr>
          <w:rFonts w:cstheme="minorHAnsi"/>
          <w:sz w:val="24"/>
          <w:szCs w:val="24"/>
        </w:rPr>
        <w:t>ellenőrzés</w:t>
      </w:r>
      <w:r w:rsidR="001F01E6" w:rsidRPr="00991867">
        <w:rPr>
          <w:rFonts w:cstheme="minorHAnsi"/>
          <w:sz w:val="24"/>
          <w:szCs w:val="24"/>
        </w:rPr>
        <w:t>i</w:t>
      </w:r>
      <w:r w:rsidR="00E2651D" w:rsidRPr="00991867">
        <w:rPr>
          <w:rFonts w:cstheme="minorHAnsi"/>
          <w:sz w:val="24"/>
          <w:szCs w:val="24"/>
        </w:rPr>
        <w:t xml:space="preserve"> területekre </w:t>
      </w:r>
      <w:r w:rsidR="001F01E6" w:rsidRPr="00991867">
        <w:rPr>
          <w:rFonts w:cstheme="minorHAnsi"/>
          <w:sz w:val="24"/>
          <w:szCs w:val="24"/>
        </w:rPr>
        <w:t xml:space="preserve">vonatkozó </w:t>
      </w:r>
      <w:r w:rsidR="00E2651D" w:rsidRPr="00991867">
        <w:rPr>
          <w:rFonts w:cstheme="minorHAnsi"/>
          <w:sz w:val="24"/>
          <w:szCs w:val="24"/>
        </w:rPr>
        <w:t>jövő</w:t>
      </w:r>
      <w:r w:rsidR="001F01E6" w:rsidRPr="00991867">
        <w:rPr>
          <w:rFonts w:cstheme="minorHAnsi"/>
          <w:sz w:val="24"/>
          <w:szCs w:val="24"/>
        </w:rPr>
        <w:t>beni stratégiai célok, és az azt biztosító legfontosabb feladatok:</w:t>
      </w:r>
    </w:p>
    <w:p w14:paraId="3F667855" w14:textId="5FF197D4" w:rsidR="00A97535" w:rsidRDefault="00A97535" w:rsidP="008E1D1F">
      <w:pPr>
        <w:pStyle w:val="Listaszerbekezds"/>
        <w:numPr>
          <w:ilvl w:val="0"/>
          <w:numId w:val="4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2011. évi CLXXXIX. törvény Magyarország helyi önkormányzatairól szóló törvény által meghatározott kötelező és önként vállalt feladatok hatékony, gazdaságos, eredményes ellátásának elősegítése</w:t>
      </w:r>
    </w:p>
    <w:p w14:paraId="40167B56" w14:textId="11D0BD4F" w:rsidR="00A0644D" w:rsidRPr="00991867" w:rsidRDefault="00A0644D" w:rsidP="00352907">
      <w:pPr>
        <w:pStyle w:val="Listaszerbekezds"/>
        <w:numPr>
          <w:ilvl w:val="0"/>
          <w:numId w:val="4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 xml:space="preserve">Polgármesteri Hivatal szervezeti egységei, </w:t>
      </w:r>
      <w:r w:rsidR="008E1D1F" w:rsidRPr="00991867">
        <w:rPr>
          <w:rFonts w:cstheme="minorHAnsi"/>
          <w:sz w:val="24"/>
          <w:szCs w:val="24"/>
        </w:rPr>
        <w:t>az önkormányzat</w:t>
      </w:r>
      <w:r w:rsidR="00C74F80">
        <w:rPr>
          <w:rFonts w:cstheme="minorHAnsi"/>
          <w:sz w:val="24"/>
          <w:szCs w:val="24"/>
        </w:rPr>
        <w:t>, a</w:t>
      </w:r>
      <w:r w:rsidR="00C74F80">
        <w:rPr>
          <w:rFonts w:cstheme="minorHAnsi"/>
          <w:sz w:val="24"/>
          <w:szCs w:val="24"/>
        </w:rPr>
        <w:tab/>
      </w:r>
      <w:r w:rsidR="00C142CF" w:rsidRPr="00991867">
        <w:rPr>
          <w:rFonts w:cstheme="minorHAnsi"/>
          <w:sz w:val="24"/>
          <w:szCs w:val="24"/>
        </w:rPr>
        <w:t xml:space="preserve"> társulások és</w:t>
      </w:r>
      <w:r w:rsidR="00C74F80">
        <w:rPr>
          <w:rFonts w:cstheme="minorHAnsi"/>
          <w:sz w:val="24"/>
          <w:szCs w:val="24"/>
        </w:rPr>
        <w:t xml:space="preserve"> előbbiek fenntartásában működő</w:t>
      </w:r>
      <w:r w:rsidR="00C142CF" w:rsidRPr="00991867">
        <w:rPr>
          <w:rFonts w:cstheme="minorHAnsi"/>
          <w:sz w:val="24"/>
          <w:szCs w:val="24"/>
        </w:rPr>
        <w:t xml:space="preserve"> intézménye</w:t>
      </w:r>
      <w:r w:rsidR="00C74F80">
        <w:rPr>
          <w:rFonts w:cstheme="minorHAnsi"/>
          <w:sz w:val="24"/>
          <w:szCs w:val="24"/>
        </w:rPr>
        <w:t>k</w:t>
      </w:r>
      <w:r w:rsidRPr="00991867">
        <w:rPr>
          <w:rFonts w:cstheme="minorHAnsi"/>
          <w:sz w:val="24"/>
          <w:szCs w:val="24"/>
        </w:rPr>
        <w:t xml:space="preserve"> </w:t>
      </w:r>
      <w:r w:rsidR="00C74F80">
        <w:rPr>
          <w:rFonts w:cstheme="minorHAnsi"/>
          <w:sz w:val="24"/>
          <w:szCs w:val="24"/>
        </w:rPr>
        <w:t xml:space="preserve">gazdálkodásának szabályszerűsége, törvényessége, átláthatósága biztosított legyen, mind a tervezés, végrehajtás, vagyongazdálkodás során </w:t>
      </w:r>
    </w:p>
    <w:p w14:paraId="477CA834" w14:textId="6FB61956" w:rsidR="007E1094" w:rsidRDefault="007E1094" w:rsidP="007E1094">
      <w:pPr>
        <w:pStyle w:val="Listaszerbekezds"/>
        <w:numPr>
          <w:ilvl w:val="0"/>
          <w:numId w:val="4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eredményes vagyongazdálkodás erősítése</w:t>
      </w:r>
    </w:p>
    <w:p w14:paraId="2FC75793" w14:textId="77777777" w:rsidR="007E1094" w:rsidRDefault="007E1094" w:rsidP="007E1094">
      <w:pPr>
        <w:pStyle w:val="Listaszerbekezds"/>
        <w:numPr>
          <w:ilvl w:val="0"/>
          <w:numId w:val="4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városüzemeltetési feladatok hatékony, színvonalas ellátásának elősegítése</w:t>
      </w:r>
    </w:p>
    <w:p w14:paraId="144DAEFB" w14:textId="77777777" w:rsidR="007E1094" w:rsidRDefault="007E1094" w:rsidP="007E1094">
      <w:pPr>
        <w:pStyle w:val="Listaszerbekezds"/>
        <w:numPr>
          <w:ilvl w:val="0"/>
          <w:numId w:val="4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az önkormányzat, társulás fenntartásában lévő intézmények szabályozási környezetének, integritási kiépítettségének ellenőrzése, belső kontrollrendszer megerősítése</w:t>
      </w:r>
    </w:p>
    <w:p w14:paraId="1FF9A26D" w14:textId="6D4DFE3E" w:rsidR="00352907" w:rsidRDefault="00A0644D" w:rsidP="008E1D1F">
      <w:pPr>
        <w:pStyle w:val="Listaszerbekezds"/>
        <w:numPr>
          <w:ilvl w:val="0"/>
          <w:numId w:val="4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 w:rsidRPr="00352907">
        <w:rPr>
          <w:rFonts w:cstheme="minorHAnsi"/>
          <w:sz w:val="24"/>
          <w:szCs w:val="24"/>
        </w:rPr>
        <w:t>az önkormányzati többségi tulajdonban lévő gazdasági társaságok</w:t>
      </w:r>
      <w:r w:rsidR="00352907" w:rsidRPr="00352907">
        <w:rPr>
          <w:rFonts w:cstheme="minorHAnsi"/>
          <w:sz w:val="24"/>
          <w:szCs w:val="24"/>
        </w:rPr>
        <w:t xml:space="preserve"> tekintetében a tulajdonosi érdekek érvényesítésének ellenőrzése</w:t>
      </w:r>
      <w:r w:rsidRPr="00352907">
        <w:rPr>
          <w:rFonts w:cstheme="minorHAnsi"/>
          <w:sz w:val="24"/>
          <w:szCs w:val="24"/>
        </w:rPr>
        <w:t xml:space="preserve"> </w:t>
      </w:r>
    </w:p>
    <w:p w14:paraId="3161A6E4" w14:textId="760459E5" w:rsidR="001A0F20" w:rsidRPr="00352907" w:rsidRDefault="00134F12" w:rsidP="008E1D1F">
      <w:pPr>
        <w:pStyle w:val="Listaszerbekezds"/>
        <w:numPr>
          <w:ilvl w:val="0"/>
          <w:numId w:val="4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 w:rsidRPr="00352907">
        <w:rPr>
          <w:rFonts w:cstheme="minorHAnsi"/>
          <w:sz w:val="24"/>
          <w:szCs w:val="24"/>
        </w:rPr>
        <w:t>h</w:t>
      </w:r>
      <w:r w:rsidR="001A0F20" w:rsidRPr="00352907">
        <w:rPr>
          <w:rFonts w:cstheme="minorHAnsi"/>
          <w:sz w:val="24"/>
          <w:szCs w:val="24"/>
        </w:rPr>
        <w:t>atékony, szakszerű, vezetést segítő belső ellenőrzési tevékenység valósuljon meg</w:t>
      </w:r>
    </w:p>
    <w:p w14:paraId="0A4C5046" w14:textId="77777777" w:rsidR="001A0F20" w:rsidRPr="00991867" w:rsidRDefault="001A0F20" w:rsidP="008E1D1F">
      <w:pPr>
        <w:pStyle w:val="Listaszerbekezds"/>
        <w:numPr>
          <w:ilvl w:val="0"/>
          <w:numId w:val="4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az önkormányzat feladatellátásának minél szélesebb körét érintő belső ellenőrzés</w:t>
      </w:r>
    </w:p>
    <w:p w14:paraId="009177A3" w14:textId="77777777" w:rsidR="001A0F20" w:rsidRPr="00991867" w:rsidRDefault="001A0F20" w:rsidP="008E1D1F">
      <w:pPr>
        <w:pStyle w:val="Listaszerbekezds"/>
        <w:numPr>
          <w:ilvl w:val="0"/>
          <w:numId w:val="4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az önkormányzatok működését érintő jogszabályváltozások alkalmazásának ellenőrzése</w:t>
      </w:r>
    </w:p>
    <w:p w14:paraId="67A76A73" w14:textId="613B11D7" w:rsidR="001A0F20" w:rsidRPr="00991867" w:rsidRDefault="001A0F20" w:rsidP="008E1D1F">
      <w:pPr>
        <w:pStyle w:val="Listaszerbekezds"/>
        <w:numPr>
          <w:ilvl w:val="0"/>
          <w:numId w:val="4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 xml:space="preserve">külső és belső ellenőrzések </w:t>
      </w:r>
      <w:r w:rsidR="00352907">
        <w:rPr>
          <w:rFonts w:cstheme="minorHAnsi"/>
          <w:sz w:val="24"/>
          <w:szCs w:val="24"/>
        </w:rPr>
        <w:t xml:space="preserve">által feltárt hiányosságok megszüntetésére hozott intézkedések eredményességének, </w:t>
      </w:r>
      <w:r w:rsidRPr="00991867">
        <w:rPr>
          <w:rFonts w:cstheme="minorHAnsi"/>
          <w:sz w:val="24"/>
          <w:szCs w:val="24"/>
        </w:rPr>
        <w:t>megvalósulásának ellenőrzése, nyomon követés</w:t>
      </w:r>
    </w:p>
    <w:p w14:paraId="1CABAD80" w14:textId="77777777" w:rsidR="00E2651D" w:rsidRPr="00991867" w:rsidRDefault="001A0F20" w:rsidP="008E1D1F">
      <w:pPr>
        <w:pStyle w:val="Listaszerbekezds"/>
        <w:numPr>
          <w:ilvl w:val="0"/>
          <w:numId w:val="4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a</w:t>
      </w:r>
      <w:r w:rsidR="00E2651D" w:rsidRPr="00991867">
        <w:rPr>
          <w:rFonts w:cstheme="minorHAnsi"/>
          <w:sz w:val="24"/>
          <w:szCs w:val="24"/>
        </w:rPr>
        <w:t xml:space="preserve"> folyamatba épített és eseti vezetői ellenőrzési tevékenységet segítse a belső ellenőrzés</w:t>
      </w:r>
    </w:p>
    <w:p w14:paraId="0668D238" w14:textId="77777777" w:rsidR="008A729B" w:rsidRPr="00991867" w:rsidRDefault="008A729B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E55662A" w14:textId="5E0E2213" w:rsidR="001F01E6" w:rsidRDefault="00665B5F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A stratégiai célok megvalósítását a külső és a belső környezetben található különböző tényezők befolyásolják. A megfelelő analízis segít a célok eléréséhez szükséges leghatékonyabb út megtalálásában. Az alábbi SWOT analízis szemlélteti a belső ellenőrzési rendszer erősségei</w:t>
      </w:r>
      <w:r w:rsidR="008E1D1F" w:rsidRPr="00991867">
        <w:rPr>
          <w:rFonts w:cstheme="minorHAnsi"/>
          <w:sz w:val="24"/>
          <w:szCs w:val="24"/>
        </w:rPr>
        <w:t>t</w:t>
      </w:r>
      <w:r w:rsidRPr="00991867">
        <w:rPr>
          <w:rFonts w:cstheme="minorHAnsi"/>
          <w:sz w:val="24"/>
          <w:szCs w:val="24"/>
        </w:rPr>
        <w:t>, gyengeségeit, lehetőségeit és a veszélyeit.</w:t>
      </w:r>
    </w:p>
    <w:p w14:paraId="5F3E1FEC" w14:textId="77777777" w:rsidR="00A745DD" w:rsidRPr="00991867" w:rsidRDefault="00A745DD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65B5F" w:rsidRPr="00991867" w14:paraId="51F95E05" w14:textId="77777777" w:rsidTr="00665B5F">
        <w:tc>
          <w:tcPr>
            <w:tcW w:w="4531" w:type="dxa"/>
          </w:tcPr>
          <w:p w14:paraId="2D3D4AF5" w14:textId="77777777" w:rsidR="00665B5F" w:rsidRPr="00991867" w:rsidRDefault="00665B5F" w:rsidP="007705FD">
            <w:pPr>
              <w:spacing w:line="360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991867">
              <w:rPr>
                <w:rFonts w:cstheme="minorHAnsi"/>
                <w:b/>
                <w:i/>
                <w:sz w:val="24"/>
                <w:szCs w:val="24"/>
              </w:rPr>
              <w:t>Erősségek</w:t>
            </w:r>
          </w:p>
        </w:tc>
        <w:tc>
          <w:tcPr>
            <w:tcW w:w="4531" w:type="dxa"/>
          </w:tcPr>
          <w:p w14:paraId="23717099" w14:textId="77777777" w:rsidR="00665B5F" w:rsidRPr="00991867" w:rsidRDefault="00665B5F" w:rsidP="007705FD">
            <w:pPr>
              <w:spacing w:line="360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991867">
              <w:rPr>
                <w:rFonts w:cstheme="minorHAnsi"/>
                <w:b/>
                <w:i/>
                <w:sz w:val="24"/>
                <w:szCs w:val="24"/>
              </w:rPr>
              <w:t>Gyengeségek</w:t>
            </w:r>
          </w:p>
        </w:tc>
      </w:tr>
      <w:tr w:rsidR="00665B5F" w:rsidRPr="00991867" w14:paraId="2B7F5056" w14:textId="77777777" w:rsidTr="00665B5F">
        <w:tc>
          <w:tcPr>
            <w:tcW w:w="4531" w:type="dxa"/>
          </w:tcPr>
          <w:p w14:paraId="6698C7BF" w14:textId="0550849D" w:rsidR="00665B5F" w:rsidRPr="00991867" w:rsidRDefault="008A729B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91867">
              <w:rPr>
                <w:rFonts w:cstheme="minorHAnsi"/>
                <w:sz w:val="24"/>
                <w:szCs w:val="24"/>
              </w:rPr>
              <w:t xml:space="preserve">- </w:t>
            </w:r>
            <w:r w:rsidR="00A745DD">
              <w:rPr>
                <w:rFonts w:cstheme="minorHAnsi"/>
                <w:sz w:val="24"/>
                <w:szCs w:val="24"/>
              </w:rPr>
              <w:t>stabil szaktudás, munkabíró képesség</w:t>
            </w:r>
          </w:p>
          <w:p w14:paraId="0E33D3BD" w14:textId="77777777" w:rsidR="00665B5F" w:rsidRPr="00991867" w:rsidRDefault="008A729B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91867">
              <w:rPr>
                <w:rFonts w:cstheme="minorHAnsi"/>
                <w:sz w:val="24"/>
                <w:szCs w:val="24"/>
              </w:rPr>
              <w:t>- elkötelezett belső ellenőr</w:t>
            </w:r>
          </w:p>
          <w:p w14:paraId="754EBBF8" w14:textId="4F1E7227" w:rsidR="008A729B" w:rsidRPr="00991867" w:rsidRDefault="008E1D1F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91867">
              <w:rPr>
                <w:rFonts w:cstheme="minorHAnsi"/>
                <w:sz w:val="24"/>
                <w:szCs w:val="24"/>
              </w:rPr>
              <w:t xml:space="preserve">- </w:t>
            </w:r>
            <w:r w:rsidR="00A745DD">
              <w:rPr>
                <w:rFonts w:cstheme="minorHAnsi"/>
                <w:sz w:val="24"/>
                <w:szCs w:val="24"/>
              </w:rPr>
              <w:t>továbbképzési igény</w:t>
            </w:r>
          </w:p>
        </w:tc>
        <w:tc>
          <w:tcPr>
            <w:tcW w:w="4531" w:type="dxa"/>
          </w:tcPr>
          <w:p w14:paraId="2D003AB5" w14:textId="65BB3937" w:rsidR="00665B5F" w:rsidRDefault="00665B5F" w:rsidP="00A745D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91867">
              <w:rPr>
                <w:rFonts w:cstheme="minorHAnsi"/>
                <w:sz w:val="24"/>
                <w:szCs w:val="24"/>
              </w:rPr>
              <w:t>-</w:t>
            </w:r>
            <w:r w:rsidR="008A729B" w:rsidRPr="00991867">
              <w:rPr>
                <w:rFonts w:cstheme="minorHAnsi"/>
                <w:sz w:val="24"/>
                <w:szCs w:val="24"/>
              </w:rPr>
              <w:t xml:space="preserve"> egyszemélyes belső ellenőrzés</w:t>
            </w:r>
            <w:r w:rsidR="00A745DD">
              <w:rPr>
                <w:rFonts w:cstheme="minorHAnsi"/>
                <w:sz w:val="24"/>
                <w:szCs w:val="24"/>
              </w:rPr>
              <w:t>, kevés óraszám</w:t>
            </w:r>
          </w:p>
          <w:p w14:paraId="6B5A67B1" w14:textId="658D2720" w:rsidR="00A745DD" w:rsidRPr="00991867" w:rsidRDefault="00A745DD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helyettesítés</w:t>
            </w:r>
          </w:p>
          <w:p w14:paraId="7CD8FD6E" w14:textId="1ADDE45F" w:rsidR="008A729B" w:rsidRPr="00991867" w:rsidRDefault="008A729B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91867">
              <w:rPr>
                <w:rFonts w:cstheme="minorHAnsi"/>
                <w:sz w:val="24"/>
                <w:szCs w:val="24"/>
              </w:rPr>
              <w:t>- információáramlás gyengesége</w:t>
            </w:r>
          </w:p>
        </w:tc>
      </w:tr>
      <w:tr w:rsidR="00665B5F" w:rsidRPr="00991867" w14:paraId="69B856F1" w14:textId="77777777" w:rsidTr="00665B5F">
        <w:tc>
          <w:tcPr>
            <w:tcW w:w="4531" w:type="dxa"/>
          </w:tcPr>
          <w:p w14:paraId="4E39B1F5" w14:textId="77777777" w:rsidR="00665B5F" w:rsidRPr="00991867" w:rsidRDefault="00665B5F" w:rsidP="007705FD">
            <w:pPr>
              <w:spacing w:line="360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991867">
              <w:rPr>
                <w:rFonts w:cstheme="minorHAnsi"/>
                <w:b/>
                <w:i/>
                <w:sz w:val="24"/>
                <w:szCs w:val="24"/>
              </w:rPr>
              <w:t>Lehetőségek</w:t>
            </w:r>
          </w:p>
        </w:tc>
        <w:tc>
          <w:tcPr>
            <w:tcW w:w="4531" w:type="dxa"/>
          </w:tcPr>
          <w:p w14:paraId="166CDF1F" w14:textId="77777777" w:rsidR="00665B5F" w:rsidRPr="00991867" w:rsidRDefault="00665B5F" w:rsidP="007705FD">
            <w:pPr>
              <w:spacing w:line="360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991867">
              <w:rPr>
                <w:rFonts w:cstheme="minorHAnsi"/>
                <w:b/>
                <w:i/>
                <w:sz w:val="24"/>
                <w:szCs w:val="24"/>
              </w:rPr>
              <w:t>Veszélyek</w:t>
            </w:r>
          </w:p>
        </w:tc>
      </w:tr>
      <w:tr w:rsidR="00665B5F" w:rsidRPr="00991867" w14:paraId="49F3E2D5" w14:textId="77777777" w:rsidTr="00665B5F">
        <w:tc>
          <w:tcPr>
            <w:tcW w:w="4531" w:type="dxa"/>
          </w:tcPr>
          <w:p w14:paraId="5FEC3B9B" w14:textId="23CDB432" w:rsidR="00665B5F" w:rsidRPr="00991867" w:rsidRDefault="00665B5F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91867">
              <w:rPr>
                <w:rFonts w:cstheme="minorHAnsi"/>
                <w:sz w:val="24"/>
                <w:szCs w:val="24"/>
              </w:rPr>
              <w:t>- szakmai továbbképzések</w:t>
            </w:r>
          </w:p>
          <w:p w14:paraId="04B7A445" w14:textId="2586AF31" w:rsidR="00665B5F" w:rsidRPr="00991867" w:rsidRDefault="00665B5F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91867">
              <w:rPr>
                <w:rFonts w:cstheme="minorHAnsi"/>
                <w:sz w:val="24"/>
                <w:szCs w:val="24"/>
              </w:rPr>
              <w:t xml:space="preserve">- szakfolyóiratok, szakkönyvek </w:t>
            </w:r>
          </w:p>
          <w:p w14:paraId="66212B5B" w14:textId="77777777" w:rsidR="00665B5F" w:rsidRDefault="00665B5F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91867">
              <w:rPr>
                <w:rFonts w:cstheme="minorHAnsi"/>
                <w:sz w:val="24"/>
                <w:szCs w:val="24"/>
              </w:rPr>
              <w:t>- új ellenőrzési módszerek megjelenése</w:t>
            </w:r>
          </w:p>
          <w:p w14:paraId="1425A151" w14:textId="36049332" w:rsidR="001248EB" w:rsidRPr="00991867" w:rsidRDefault="001248EB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informatikai fejlesztések</w:t>
            </w:r>
          </w:p>
        </w:tc>
        <w:tc>
          <w:tcPr>
            <w:tcW w:w="4531" w:type="dxa"/>
          </w:tcPr>
          <w:p w14:paraId="02AA6763" w14:textId="5590CD1F" w:rsidR="00665B5F" w:rsidRDefault="00665B5F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91867">
              <w:rPr>
                <w:rFonts w:cstheme="minorHAnsi"/>
                <w:sz w:val="24"/>
                <w:szCs w:val="24"/>
              </w:rPr>
              <w:t xml:space="preserve">- </w:t>
            </w:r>
            <w:r w:rsidR="001248EB">
              <w:rPr>
                <w:rFonts w:cstheme="minorHAnsi"/>
                <w:sz w:val="24"/>
                <w:szCs w:val="24"/>
              </w:rPr>
              <w:t>növekvő leterheltség</w:t>
            </w:r>
          </w:p>
          <w:p w14:paraId="6A6EFFC3" w14:textId="35EA4E0A" w:rsidR="001248EB" w:rsidRPr="00991867" w:rsidRDefault="001248EB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állandó jogszabály változások</w:t>
            </w:r>
          </w:p>
          <w:p w14:paraId="5E4CF4F7" w14:textId="77777777" w:rsidR="008A729B" w:rsidRPr="00991867" w:rsidRDefault="008A729B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91867">
              <w:rPr>
                <w:rFonts w:cstheme="minorHAnsi"/>
                <w:sz w:val="24"/>
                <w:szCs w:val="24"/>
              </w:rPr>
              <w:t>- együttműködés esetleges hiánya</w:t>
            </w:r>
          </w:p>
          <w:p w14:paraId="495E83D2" w14:textId="77777777" w:rsidR="008A729B" w:rsidRPr="00991867" w:rsidRDefault="008A729B" w:rsidP="008E1D1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C51F386" w14:textId="6D5B8596" w:rsidR="00665B5F" w:rsidRDefault="00665B5F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B20B810" w14:textId="61421F4B" w:rsidR="00A745DD" w:rsidRDefault="00A745DD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B76639" w14:textId="77777777" w:rsidR="00A745DD" w:rsidRPr="00991867" w:rsidRDefault="00A745DD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F835F7" w14:textId="77777777" w:rsidR="00E2651D" w:rsidRPr="00991867" w:rsidRDefault="00E2651D" w:rsidP="0090432B">
      <w:pPr>
        <w:pStyle w:val="Listaszerbekezds"/>
        <w:numPr>
          <w:ilvl w:val="0"/>
          <w:numId w:val="3"/>
        </w:numPr>
        <w:spacing w:after="0" w:line="360" w:lineRule="auto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bookmarkStart w:id="6" w:name="_Toc500411765"/>
      <w:r w:rsidRPr="00991867">
        <w:rPr>
          <w:rFonts w:cstheme="minorHAnsi"/>
          <w:b/>
          <w:sz w:val="24"/>
          <w:szCs w:val="24"/>
        </w:rPr>
        <w:lastRenderedPageBreak/>
        <w:t>Kockázati tényezők</w:t>
      </w:r>
      <w:bookmarkEnd w:id="6"/>
    </w:p>
    <w:p w14:paraId="733B4036" w14:textId="77777777" w:rsidR="007705FD" w:rsidRPr="00991867" w:rsidRDefault="007705FD" w:rsidP="007705FD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073F107E" w14:textId="11B4C503" w:rsidR="008A729B" w:rsidRPr="00991867" w:rsidRDefault="001A0F20" w:rsidP="007F342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 xml:space="preserve">A belső ellenőrzési tevékenység tervezésének kockázatelemzésen kell alapulni, a rendelkezésre álló kapacitást a legjelentősebb kockázatot jelentő területekre kell összpontosítani. </w:t>
      </w:r>
      <w:r w:rsidR="00900A6C" w:rsidRPr="00991867">
        <w:rPr>
          <w:rFonts w:cstheme="minorHAnsi"/>
          <w:sz w:val="24"/>
          <w:szCs w:val="24"/>
        </w:rPr>
        <w:t xml:space="preserve">Az egyes rendszerek kockázatelemzése a kockázati tényezők, és azok súlya alapján történt. </w:t>
      </w:r>
      <w:r w:rsidR="008A729B" w:rsidRPr="00991867">
        <w:rPr>
          <w:rFonts w:cstheme="minorHAnsi"/>
          <w:sz w:val="24"/>
          <w:szCs w:val="24"/>
        </w:rPr>
        <w:t xml:space="preserve">A kockázatok </w:t>
      </w:r>
      <w:r w:rsidR="00900A6C" w:rsidRPr="00991867">
        <w:rPr>
          <w:rFonts w:cstheme="minorHAnsi"/>
          <w:sz w:val="24"/>
          <w:szCs w:val="24"/>
        </w:rPr>
        <w:t>elemzéséhez és értékeléséhez 11 kockázati tényező</w:t>
      </w:r>
      <w:r w:rsidR="008A729B" w:rsidRPr="00991867">
        <w:rPr>
          <w:rFonts w:cstheme="minorHAnsi"/>
          <w:sz w:val="24"/>
          <w:szCs w:val="24"/>
        </w:rPr>
        <w:t xml:space="preserve"> kerü</w:t>
      </w:r>
      <w:r w:rsidR="00900A6C" w:rsidRPr="00991867">
        <w:rPr>
          <w:rFonts w:cstheme="minorHAnsi"/>
          <w:sz w:val="24"/>
          <w:szCs w:val="24"/>
        </w:rPr>
        <w:t>lt meghatározásra</w:t>
      </w:r>
      <w:r w:rsidR="009664C4" w:rsidRPr="00991867">
        <w:rPr>
          <w:rFonts w:cstheme="minorHAnsi"/>
          <w:sz w:val="24"/>
          <w:szCs w:val="24"/>
        </w:rPr>
        <w:t>, amely hatással van a rendszer működésére</w:t>
      </w:r>
      <w:r w:rsidR="008A729B" w:rsidRPr="00991867">
        <w:rPr>
          <w:rFonts w:cstheme="minorHAnsi"/>
          <w:sz w:val="24"/>
          <w:szCs w:val="24"/>
        </w:rPr>
        <w:t>:</w:t>
      </w:r>
    </w:p>
    <w:p w14:paraId="19686F5E" w14:textId="77777777" w:rsidR="008A729B" w:rsidRPr="00991867" w:rsidRDefault="008A729B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belső kontrollok eredményessége</w:t>
      </w:r>
    </w:p>
    <w:p w14:paraId="56852876" w14:textId="77777777" w:rsidR="008A729B" w:rsidRPr="00991867" w:rsidRDefault="008A729B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átszervezés, változás</w:t>
      </w:r>
    </w:p>
    <w:p w14:paraId="4D6E235D" w14:textId="77777777" w:rsidR="008A729B" w:rsidRPr="00991867" w:rsidRDefault="008A729B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a rendszer komplexitása</w:t>
      </w:r>
    </w:p>
    <w:p w14:paraId="154F813A" w14:textId="77777777" w:rsidR="00363F6C" w:rsidRPr="00991867" w:rsidRDefault="00363F6C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kölcsönhatás más rendszerekkel</w:t>
      </w:r>
    </w:p>
    <w:p w14:paraId="261D4AC4" w14:textId="77777777" w:rsidR="00363F6C" w:rsidRPr="00991867" w:rsidRDefault="00363F6C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bevétel és költségszint</w:t>
      </w:r>
    </w:p>
    <w:p w14:paraId="4CC9F9A0" w14:textId="77777777" w:rsidR="00363F6C" w:rsidRPr="00991867" w:rsidRDefault="00363F6C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külső szervezetek által gyakorolt befolyás</w:t>
      </w:r>
    </w:p>
    <w:p w14:paraId="7B7A4058" w14:textId="77777777" w:rsidR="00363F6C" w:rsidRPr="00991867" w:rsidRDefault="00363F6C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előző ellenőrzés óta eltelt idő</w:t>
      </w:r>
    </w:p>
    <w:p w14:paraId="1C036C47" w14:textId="77777777" w:rsidR="00363F6C" w:rsidRPr="00991867" w:rsidRDefault="00363F6C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vezetőség aggályai</w:t>
      </w:r>
    </w:p>
    <w:p w14:paraId="4A5DA075" w14:textId="77777777" w:rsidR="00363F6C" w:rsidRPr="00991867" w:rsidRDefault="00363F6C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pénzügyi, gazdasági kockázat</w:t>
      </w:r>
    </w:p>
    <w:p w14:paraId="04E178FB" w14:textId="77777777" w:rsidR="00363F6C" w:rsidRPr="00991867" w:rsidRDefault="00363F6C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szabályozottság (külső szabályozottság, belső szabályozottság és azok összetettsége)</w:t>
      </w:r>
    </w:p>
    <w:p w14:paraId="58EAEBCE" w14:textId="77777777" w:rsidR="00363F6C" w:rsidRPr="00991867" w:rsidRDefault="00363F6C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humán erőforrás (képzettség, tapasztaltság)</w:t>
      </w:r>
    </w:p>
    <w:p w14:paraId="476527A2" w14:textId="77777777" w:rsidR="00363F6C" w:rsidRPr="00991867" w:rsidRDefault="00363F6C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- erőforrások megléte</w:t>
      </w:r>
    </w:p>
    <w:p w14:paraId="0EAE5DFA" w14:textId="77777777" w:rsidR="00303614" w:rsidRPr="00991867" w:rsidRDefault="00363F6C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A kockázati tényezők hatása</w:t>
      </w:r>
      <w:r w:rsidR="00303614" w:rsidRPr="00991867">
        <w:rPr>
          <w:rFonts w:cstheme="minorHAnsi"/>
          <w:sz w:val="24"/>
          <w:szCs w:val="24"/>
        </w:rPr>
        <w:t xml:space="preserve"> lehet, magas (3), közepes (2) és alacsony (1), az adott kockázati tényezőhöz rendelt súly pedig 1-6-ig terjedhet.</w:t>
      </w:r>
    </w:p>
    <w:p w14:paraId="5257F76B" w14:textId="77777777" w:rsidR="00E2651D" w:rsidRPr="00991867" w:rsidRDefault="00E2651D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Jövőbeni cél a nagyobb kockázatú területek ellenőrzése</w:t>
      </w:r>
      <w:r w:rsidR="00640AA4" w:rsidRPr="00991867">
        <w:rPr>
          <w:rFonts w:cstheme="minorHAnsi"/>
          <w:sz w:val="24"/>
          <w:szCs w:val="24"/>
        </w:rPr>
        <w:t>:</w:t>
      </w:r>
    </w:p>
    <w:p w14:paraId="1E566F89" w14:textId="77777777" w:rsidR="00303614" w:rsidRPr="00991867" w:rsidRDefault="00303614" w:rsidP="007705FD">
      <w:pPr>
        <w:pStyle w:val="Listaszerbekezds"/>
        <w:numPr>
          <w:ilvl w:val="0"/>
          <w:numId w:val="2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A jogszabályoknak, belső szabályzatoknak való megfelelés, gazdaságosság, eredményesség és hatékonyság vizsgálata mind a Hivatal szervezeti egységei, mind az intézmények és önkormányzati többségi tulajdonban lévő gazdasági társaságok tekintetében</w:t>
      </w:r>
    </w:p>
    <w:p w14:paraId="7501973C" w14:textId="77777777" w:rsidR="00303614" w:rsidRPr="00991867" w:rsidRDefault="00303614" w:rsidP="007705FD">
      <w:pPr>
        <w:pStyle w:val="Listaszerbekezds"/>
        <w:numPr>
          <w:ilvl w:val="0"/>
          <w:numId w:val="2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Működést érintő jogszabályváltozások alkalmazásának folyamatos ellenőrzése</w:t>
      </w:r>
    </w:p>
    <w:p w14:paraId="5913C90A" w14:textId="77777777" w:rsidR="00303614" w:rsidRPr="00991867" w:rsidRDefault="00640AA4" w:rsidP="007705FD">
      <w:pPr>
        <w:pStyle w:val="Listaszerbekezds"/>
        <w:numPr>
          <w:ilvl w:val="0"/>
          <w:numId w:val="2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Költségvetés tervezésének, módosításána</w:t>
      </w:r>
      <w:r w:rsidR="00303614" w:rsidRPr="00991867">
        <w:rPr>
          <w:rFonts w:cstheme="minorHAnsi"/>
          <w:sz w:val="24"/>
          <w:szCs w:val="24"/>
        </w:rPr>
        <w:t>k, végrehajtásának ellenőrzése</w:t>
      </w:r>
    </w:p>
    <w:p w14:paraId="6714625E" w14:textId="61DD37F5" w:rsidR="00640AA4" w:rsidRDefault="00640AA4" w:rsidP="007705FD">
      <w:pPr>
        <w:pStyle w:val="Listaszerbekezds"/>
        <w:numPr>
          <w:ilvl w:val="0"/>
          <w:numId w:val="2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Vagyongazdálkodás ellenőrzése</w:t>
      </w:r>
    </w:p>
    <w:p w14:paraId="48C6345B" w14:textId="5EF6B0E5" w:rsidR="00ED298A" w:rsidRDefault="007F342C" w:rsidP="007705FD">
      <w:pPr>
        <w:pStyle w:val="Listaszerbekezds"/>
        <w:numPr>
          <w:ilvl w:val="0"/>
          <w:numId w:val="2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ED298A">
        <w:rPr>
          <w:rFonts w:cstheme="minorHAnsi"/>
          <w:sz w:val="24"/>
          <w:szCs w:val="24"/>
        </w:rPr>
        <w:t xml:space="preserve">ntézmények </w:t>
      </w:r>
      <w:r w:rsidR="00ED298A" w:rsidRPr="00ED298A">
        <w:rPr>
          <w:rFonts w:cstheme="minorHAnsi"/>
          <w:sz w:val="24"/>
          <w:szCs w:val="24"/>
        </w:rPr>
        <w:t>szabályozási környezetének, integritási kiépítettségének</w:t>
      </w:r>
      <w:r w:rsidR="00ED298A">
        <w:rPr>
          <w:rFonts w:cstheme="minorHAnsi"/>
          <w:sz w:val="24"/>
          <w:szCs w:val="24"/>
        </w:rPr>
        <w:t>, belső kontrollrendszerének</w:t>
      </w:r>
      <w:r w:rsidR="00ED298A" w:rsidRPr="00ED298A">
        <w:rPr>
          <w:rFonts w:cstheme="minorHAnsi"/>
          <w:sz w:val="24"/>
          <w:szCs w:val="24"/>
        </w:rPr>
        <w:t xml:space="preserve"> ellenőrzése</w:t>
      </w:r>
    </w:p>
    <w:p w14:paraId="38ED32DC" w14:textId="44954DE5" w:rsidR="007F342C" w:rsidRPr="00ED298A" w:rsidRDefault="007F342C" w:rsidP="007705FD">
      <w:pPr>
        <w:pStyle w:val="Listaszerbekezds"/>
        <w:numPr>
          <w:ilvl w:val="0"/>
          <w:numId w:val="2"/>
        </w:numPr>
        <w:spacing w:after="0" w:line="360" w:lineRule="auto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utóellenőrzések</w:t>
      </w:r>
    </w:p>
    <w:p w14:paraId="0E269132" w14:textId="117298FC" w:rsidR="008E1D1F" w:rsidRPr="00991867" w:rsidRDefault="008E1D1F" w:rsidP="0090432B">
      <w:pPr>
        <w:pStyle w:val="Cmsor1"/>
        <w:numPr>
          <w:ilvl w:val="0"/>
          <w:numId w:val="3"/>
        </w:numPr>
        <w:jc w:val="left"/>
        <w:rPr>
          <w:rFonts w:cstheme="minorHAnsi"/>
          <w:sz w:val="24"/>
          <w:szCs w:val="24"/>
        </w:rPr>
      </w:pPr>
      <w:bookmarkStart w:id="7" w:name="_Toc500411766"/>
      <w:r w:rsidRPr="00991867">
        <w:rPr>
          <w:rFonts w:cstheme="minorHAnsi"/>
          <w:sz w:val="24"/>
          <w:szCs w:val="24"/>
        </w:rPr>
        <w:lastRenderedPageBreak/>
        <w:t xml:space="preserve">A </w:t>
      </w:r>
      <w:r w:rsidR="0090432B" w:rsidRPr="00991867">
        <w:rPr>
          <w:rFonts w:cstheme="minorHAnsi"/>
          <w:sz w:val="24"/>
          <w:szCs w:val="24"/>
        </w:rPr>
        <w:t>belső ellenőrzés erőforrásai</w:t>
      </w:r>
      <w:r w:rsidRPr="00991867">
        <w:rPr>
          <w:rFonts w:cstheme="minorHAnsi"/>
          <w:sz w:val="24"/>
          <w:szCs w:val="24"/>
        </w:rPr>
        <w:t xml:space="preserve"> (létszám, képzettség, tárgyi feltételek)</w:t>
      </w:r>
      <w:bookmarkEnd w:id="7"/>
    </w:p>
    <w:p w14:paraId="789CE681" w14:textId="77777777" w:rsidR="00900A6C" w:rsidRPr="00991867" w:rsidRDefault="00900A6C" w:rsidP="008E1D1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643DDAC" w14:textId="578DB4AB" w:rsidR="004345D7" w:rsidRPr="00991867" w:rsidRDefault="008E1D1F" w:rsidP="00900A6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 xml:space="preserve">A belső ellenőrzési </w:t>
      </w:r>
      <w:r w:rsidR="004345D7" w:rsidRPr="00991867">
        <w:rPr>
          <w:rFonts w:cstheme="minorHAnsi"/>
          <w:sz w:val="24"/>
          <w:szCs w:val="24"/>
        </w:rPr>
        <w:t>feladatokat Szekszárd Megyei Jogú Város Polgármesteri Hivatal</w:t>
      </w:r>
      <w:r w:rsidR="00134F12" w:rsidRPr="00991867">
        <w:rPr>
          <w:rFonts w:cstheme="minorHAnsi"/>
          <w:sz w:val="24"/>
          <w:szCs w:val="24"/>
        </w:rPr>
        <w:t>á</w:t>
      </w:r>
      <w:r w:rsidR="00ED298A">
        <w:rPr>
          <w:rFonts w:cstheme="minorHAnsi"/>
          <w:sz w:val="24"/>
          <w:szCs w:val="24"/>
        </w:rPr>
        <w:t>nál megbízási szerződés keretében</w:t>
      </w:r>
      <w:r w:rsidR="004345D7" w:rsidRPr="00991867">
        <w:rPr>
          <w:rFonts w:cstheme="minorHAnsi"/>
          <w:sz w:val="24"/>
          <w:szCs w:val="24"/>
        </w:rPr>
        <w:t xml:space="preserve"> 1 fő </w:t>
      </w:r>
      <w:r w:rsidR="00134F12" w:rsidRPr="00991867">
        <w:rPr>
          <w:rFonts w:cstheme="minorHAnsi"/>
          <w:sz w:val="24"/>
          <w:szCs w:val="24"/>
        </w:rPr>
        <w:t>látja el a</w:t>
      </w:r>
      <w:r w:rsidR="004345D7" w:rsidRPr="00991867">
        <w:rPr>
          <w:rFonts w:cstheme="minorHAnsi"/>
          <w:sz w:val="24"/>
          <w:szCs w:val="24"/>
        </w:rPr>
        <w:t xml:space="preserve"> </w:t>
      </w:r>
      <w:r w:rsidRPr="00991867">
        <w:rPr>
          <w:rFonts w:cstheme="minorHAnsi"/>
          <w:sz w:val="24"/>
          <w:szCs w:val="24"/>
        </w:rPr>
        <w:t xml:space="preserve">biztonságos, zavartalan feladatellátás </w:t>
      </w:r>
      <w:r w:rsidR="004345D7" w:rsidRPr="00991867">
        <w:rPr>
          <w:rFonts w:cstheme="minorHAnsi"/>
          <w:sz w:val="24"/>
          <w:szCs w:val="24"/>
        </w:rPr>
        <w:t>érdekében</w:t>
      </w:r>
      <w:r w:rsidRPr="00991867">
        <w:rPr>
          <w:rFonts w:cstheme="minorHAnsi"/>
          <w:sz w:val="24"/>
          <w:szCs w:val="24"/>
        </w:rPr>
        <w:t>. A belső ellenőr szakmai képesítése és gyakorlata megfelel az elvárásoknak és a szakmai előírásoknak.</w:t>
      </w:r>
      <w:r w:rsidR="004345D7" w:rsidRPr="00991867">
        <w:rPr>
          <w:rFonts w:cstheme="minorHAnsi"/>
          <w:sz w:val="24"/>
          <w:szCs w:val="24"/>
        </w:rPr>
        <w:t xml:space="preserve"> A jogszabályokban meghatározott engedéllyel és regisztrációval rendelkezik a belső ellenőr, nyilvántartásba vétele megtörtént.</w:t>
      </w:r>
      <w:r w:rsidR="00D51C6F" w:rsidRPr="00991867">
        <w:rPr>
          <w:rFonts w:cstheme="minorHAnsi"/>
          <w:sz w:val="24"/>
          <w:szCs w:val="24"/>
        </w:rPr>
        <w:t xml:space="preserve"> A </w:t>
      </w:r>
      <w:r w:rsidR="00ED298A">
        <w:rPr>
          <w:rFonts w:cstheme="minorHAnsi"/>
          <w:sz w:val="24"/>
          <w:szCs w:val="24"/>
        </w:rPr>
        <w:t xml:space="preserve">mindennapi tevékenység ellátásához </w:t>
      </w:r>
      <w:r w:rsidR="00D51C6F" w:rsidRPr="00991867">
        <w:rPr>
          <w:rFonts w:cstheme="minorHAnsi"/>
          <w:sz w:val="24"/>
          <w:szCs w:val="24"/>
        </w:rPr>
        <w:t xml:space="preserve">szükséges </w:t>
      </w:r>
      <w:r w:rsidR="00ED298A">
        <w:rPr>
          <w:rFonts w:cstheme="minorHAnsi"/>
          <w:sz w:val="24"/>
          <w:szCs w:val="24"/>
        </w:rPr>
        <w:t>informatikai</w:t>
      </w:r>
      <w:r w:rsidR="00900A6C" w:rsidRPr="00991867">
        <w:rPr>
          <w:rFonts w:cstheme="minorHAnsi"/>
          <w:sz w:val="24"/>
          <w:szCs w:val="24"/>
        </w:rPr>
        <w:t xml:space="preserve">, </w:t>
      </w:r>
      <w:r w:rsidR="00D51C6F" w:rsidRPr="00991867">
        <w:rPr>
          <w:rFonts w:cstheme="minorHAnsi"/>
          <w:sz w:val="24"/>
          <w:szCs w:val="24"/>
        </w:rPr>
        <w:t>tárgyi feltételek</w:t>
      </w:r>
      <w:r w:rsidR="00ED298A">
        <w:rPr>
          <w:rFonts w:cstheme="minorHAnsi"/>
          <w:sz w:val="24"/>
          <w:szCs w:val="24"/>
        </w:rPr>
        <w:t xml:space="preserve"> (laptop, hozzárés belső hálózathoz, iktatórendszerez)</w:t>
      </w:r>
      <w:r w:rsidR="00D51C6F" w:rsidRPr="00991867">
        <w:rPr>
          <w:rFonts w:cstheme="minorHAnsi"/>
          <w:sz w:val="24"/>
          <w:szCs w:val="24"/>
        </w:rPr>
        <w:t xml:space="preserve"> a</w:t>
      </w:r>
      <w:r w:rsidR="00900A6C" w:rsidRPr="00991867">
        <w:rPr>
          <w:rFonts w:cstheme="minorHAnsi"/>
          <w:sz w:val="24"/>
          <w:szCs w:val="24"/>
        </w:rPr>
        <w:t xml:space="preserve"> belső ellenőrzés számára </w:t>
      </w:r>
      <w:r w:rsidR="00134F12" w:rsidRPr="00991867">
        <w:rPr>
          <w:rFonts w:cstheme="minorHAnsi"/>
          <w:sz w:val="24"/>
          <w:szCs w:val="24"/>
        </w:rPr>
        <w:t>rendelkezés</w:t>
      </w:r>
      <w:r w:rsidR="00900A6C" w:rsidRPr="00991867">
        <w:rPr>
          <w:rFonts w:cstheme="minorHAnsi"/>
          <w:sz w:val="24"/>
          <w:szCs w:val="24"/>
        </w:rPr>
        <w:t>re</w:t>
      </w:r>
      <w:r w:rsidR="00D51C6F" w:rsidRPr="00991867">
        <w:rPr>
          <w:rFonts w:cstheme="minorHAnsi"/>
          <w:sz w:val="24"/>
          <w:szCs w:val="24"/>
        </w:rPr>
        <w:t xml:space="preserve"> állnak</w:t>
      </w:r>
      <w:r w:rsidR="00900A6C" w:rsidRPr="00991867">
        <w:rPr>
          <w:rFonts w:cstheme="minorHAnsi"/>
          <w:sz w:val="24"/>
          <w:szCs w:val="24"/>
        </w:rPr>
        <w:t>.</w:t>
      </w:r>
      <w:r w:rsidR="004345D7" w:rsidRPr="00991867">
        <w:rPr>
          <w:rFonts w:cstheme="minorHAnsi"/>
          <w:sz w:val="24"/>
          <w:szCs w:val="24"/>
        </w:rPr>
        <w:t xml:space="preserve"> </w:t>
      </w:r>
    </w:p>
    <w:p w14:paraId="649BDE3B" w14:textId="77777777" w:rsidR="004345D7" w:rsidRPr="00991867" w:rsidRDefault="004345D7" w:rsidP="008E1D1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AA979F7" w14:textId="77777777" w:rsidR="00640AA4" w:rsidRPr="00991867" w:rsidRDefault="00640AA4" w:rsidP="0090432B">
      <w:pPr>
        <w:pStyle w:val="Listaszerbekezds"/>
        <w:numPr>
          <w:ilvl w:val="0"/>
          <w:numId w:val="3"/>
        </w:numPr>
        <w:spacing w:after="0" w:line="360" w:lineRule="auto"/>
        <w:contextualSpacing w:val="0"/>
        <w:jc w:val="both"/>
        <w:outlineLvl w:val="0"/>
        <w:rPr>
          <w:rFonts w:cstheme="minorHAnsi"/>
          <w:b/>
          <w:sz w:val="24"/>
          <w:szCs w:val="24"/>
        </w:rPr>
      </w:pPr>
      <w:bookmarkStart w:id="8" w:name="_Toc500411767"/>
      <w:r w:rsidRPr="00991867">
        <w:rPr>
          <w:rFonts w:cstheme="minorHAnsi"/>
          <w:b/>
          <w:sz w:val="24"/>
          <w:szCs w:val="24"/>
        </w:rPr>
        <w:t xml:space="preserve">Belső ellenőrzésre vonatkozó fejlesztési </w:t>
      </w:r>
      <w:r w:rsidR="00900A6C" w:rsidRPr="00991867">
        <w:rPr>
          <w:rFonts w:cstheme="minorHAnsi"/>
          <w:b/>
          <w:sz w:val="24"/>
          <w:szCs w:val="24"/>
        </w:rPr>
        <w:t xml:space="preserve">és képzési </w:t>
      </w:r>
      <w:r w:rsidRPr="00991867">
        <w:rPr>
          <w:rFonts w:cstheme="minorHAnsi"/>
          <w:b/>
          <w:sz w:val="24"/>
          <w:szCs w:val="24"/>
        </w:rPr>
        <w:t>terv</w:t>
      </w:r>
      <w:bookmarkEnd w:id="8"/>
    </w:p>
    <w:p w14:paraId="62B8CE39" w14:textId="77777777" w:rsidR="007705FD" w:rsidRPr="00991867" w:rsidRDefault="007705FD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CC4436" w14:textId="77777777" w:rsidR="00900A6C" w:rsidRPr="00991867" w:rsidRDefault="00640AA4" w:rsidP="00900A6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A belső ellenőrzés célja a jogszabályokban, szabályzatokban előírtaknak való megfelelés. Ennek érdekében nagy hangsúlyt kell fektetni az ellenőrzések előkészítésére, az eg</w:t>
      </w:r>
      <w:r w:rsidR="001F01E6" w:rsidRPr="00991867">
        <w:rPr>
          <w:rFonts w:cstheme="minorHAnsi"/>
          <w:sz w:val="24"/>
          <w:szCs w:val="24"/>
        </w:rPr>
        <w:t xml:space="preserve">ységes eljárások kialakítására. A feladat elvégzéséhez szükséges a folyamatos továbbképzés, a jogszabályok és a változások ismerete. </w:t>
      </w:r>
      <w:r w:rsidR="00900A6C" w:rsidRPr="00991867">
        <w:rPr>
          <w:rFonts w:cstheme="minorHAnsi"/>
          <w:sz w:val="24"/>
          <w:szCs w:val="24"/>
        </w:rPr>
        <w:t>Az ÁBPE I. kötelező továbbképzési kötelezettségének a belső ellenőr eleget tett, a két évente esedékes kötelező ÁBPE II. továbbképzés követelményeit is teljesíti/teljesítette.</w:t>
      </w:r>
    </w:p>
    <w:p w14:paraId="4F573CB1" w14:textId="2EDA3484" w:rsidR="0090432B" w:rsidRDefault="00ED298A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belső ellenőrzési tevékenység közszolgálati jogviszonyban történő ellátása esetén az egyéni képzési terv alapján a Hivatal gondoskodik a belső ellenőr szakmai képzéséről, külső szolgáltató esetén a belső ellenőr maga tesz eleget a szakmai képzési kötelezettségének az egyéni képzési terv alapján.</w:t>
      </w:r>
    </w:p>
    <w:p w14:paraId="041D7C21" w14:textId="77777777" w:rsidR="007F342C" w:rsidRPr="00991867" w:rsidRDefault="007F342C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0C02A7D" w14:textId="77777777" w:rsidR="009664C4" w:rsidRPr="00991867" w:rsidRDefault="009664C4" w:rsidP="0090432B">
      <w:pPr>
        <w:pStyle w:val="Cmsor1"/>
        <w:numPr>
          <w:ilvl w:val="0"/>
          <w:numId w:val="3"/>
        </w:numPr>
        <w:jc w:val="left"/>
        <w:rPr>
          <w:rFonts w:cstheme="minorHAnsi"/>
          <w:sz w:val="24"/>
          <w:szCs w:val="24"/>
        </w:rPr>
      </w:pPr>
      <w:bookmarkStart w:id="9" w:name="_Toc500411768"/>
      <w:r w:rsidRPr="00991867">
        <w:rPr>
          <w:rFonts w:cstheme="minorHAnsi"/>
          <w:sz w:val="24"/>
          <w:szCs w:val="24"/>
        </w:rPr>
        <w:t>Belső kontrollrendszer általános értékelése</w:t>
      </w:r>
      <w:bookmarkEnd w:id="9"/>
    </w:p>
    <w:p w14:paraId="472AF598" w14:textId="77777777" w:rsidR="009664C4" w:rsidRPr="00991867" w:rsidRDefault="009664C4" w:rsidP="009664C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61CAF8B" w14:textId="77777777" w:rsidR="009664C4" w:rsidRPr="00991867" w:rsidRDefault="009664C4" w:rsidP="009664C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 xml:space="preserve">A 2011. CXCV. az államháztartásról szóló törvény 69. §. alapján a belső kontrollrendszer a kockázatok kezelése és tárgyilagos bizonyosság megszerzése érdekében kialakított folyamatrendszer. Létrehozásáért, működtetéséért és fejlesztéséért a költségvetési szerv vezetője felelős. </w:t>
      </w:r>
    </w:p>
    <w:p w14:paraId="258753D8" w14:textId="77777777" w:rsidR="009664C4" w:rsidRPr="00991867" w:rsidRDefault="009664C4" w:rsidP="009664C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A belső kontrollrendszer öt eleme:</w:t>
      </w:r>
    </w:p>
    <w:p w14:paraId="53A851F8" w14:textId="77777777" w:rsidR="009664C4" w:rsidRPr="00991867" w:rsidRDefault="009664C4" w:rsidP="009664C4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kontrollkörnyezet</w:t>
      </w:r>
    </w:p>
    <w:p w14:paraId="7B5D8263" w14:textId="57D8BA8E" w:rsidR="009664C4" w:rsidRPr="00991867" w:rsidRDefault="00342A6B" w:rsidP="009664C4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integrált </w:t>
      </w:r>
      <w:r w:rsidR="009664C4" w:rsidRPr="00991867">
        <w:rPr>
          <w:rFonts w:cstheme="minorHAnsi"/>
          <w:sz w:val="24"/>
          <w:szCs w:val="24"/>
        </w:rPr>
        <w:t>kockázatkezelési rendszer</w:t>
      </w:r>
    </w:p>
    <w:p w14:paraId="4D60145D" w14:textId="77777777" w:rsidR="009664C4" w:rsidRPr="00991867" w:rsidRDefault="009664C4" w:rsidP="009664C4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lastRenderedPageBreak/>
        <w:t>kontrolltevékenység</w:t>
      </w:r>
    </w:p>
    <w:p w14:paraId="79FA0C1F" w14:textId="77777777" w:rsidR="009664C4" w:rsidRPr="00991867" w:rsidRDefault="009664C4" w:rsidP="009664C4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információs és kommunikációs rendszer</w:t>
      </w:r>
    </w:p>
    <w:p w14:paraId="08B00763" w14:textId="77777777" w:rsidR="0090432B" w:rsidRPr="00991867" w:rsidRDefault="009664C4" w:rsidP="0090432B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nyomon követési rendszer</w:t>
      </w:r>
    </w:p>
    <w:p w14:paraId="641819D5" w14:textId="77777777" w:rsidR="0090432B" w:rsidRPr="00991867" w:rsidRDefault="009A5861" w:rsidP="009A5861">
      <w:pPr>
        <w:pStyle w:val="Listaszerbekezds"/>
        <w:tabs>
          <w:tab w:val="left" w:pos="889"/>
        </w:tabs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ab/>
      </w:r>
    </w:p>
    <w:p w14:paraId="0BA3FB6A" w14:textId="77777777" w:rsidR="009664C4" w:rsidRPr="00991867" w:rsidRDefault="009664C4" w:rsidP="0090432B">
      <w:pPr>
        <w:pStyle w:val="Cmsor2"/>
        <w:numPr>
          <w:ilvl w:val="1"/>
          <w:numId w:val="3"/>
        </w:numPr>
        <w:ind w:left="851" w:hanging="425"/>
        <w:rPr>
          <w:rFonts w:asciiTheme="minorHAnsi" w:hAnsiTheme="minorHAnsi" w:cstheme="minorHAnsi"/>
          <w:b/>
          <w:i/>
          <w:color w:val="auto"/>
          <w:sz w:val="24"/>
          <w:szCs w:val="24"/>
        </w:rPr>
      </w:pPr>
      <w:bookmarkStart w:id="10" w:name="_Toc500411769"/>
      <w:r w:rsidRPr="00991867">
        <w:rPr>
          <w:rFonts w:asciiTheme="minorHAnsi" w:hAnsiTheme="minorHAnsi" w:cstheme="minorHAnsi"/>
          <w:b/>
          <w:i/>
          <w:color w:val="auto"/>
          <w:sz w:val="24"/>
          <w:szCs w:val="24"/>
        </w:rPr>
        <w:t>Kontrollkörnyezet</w:t>
      </w:r>
      <w:bookmarkEnd w:id="10"/>
    </w:p>
    <w:p w14:paraId="2CF0CEBA" w14:textId="77777777" w:rsidR="005C3CEC" w:rsidRPr="00991867" w:rsidRDefault="005C3CEC" w:rsidP="009A586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D377868" w14:textId="77777777" w:rsidR="005C3CEC" w:rsidRPr="00991867" w:rsidRDefault="005C3CEC" w:rsidP="005C3CEC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A költségvetési szerv vezetője olyan kontrollkörnyezetet alakít ki, amelyben:</w:t>
      </w:r>
    </w:p>
    <w:p w14:paraId="44130885" w14:textId="77777777" w:rsidR="005C3CEC" w:rsidRPr="00991867" w:rsidRDefault="005C3CEC" w:rsidP="005C3CEC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világos a szervezeti struktúra,</w:t>
      </w:r>
    </w:p>
    <w:p w14:paraId="293AAEE2" w14:textId="77777777" w:rsidR="005C3CEC" w:rsidRPr="00991867" w:rsidRDefault="005C3CEC" w:rsidP="005C3CEC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egyértelműek a felelősségi, hatásköri viszonyok és feladatok,</w:t>
      </w:r>
    </w:p>
    <w:p w14:paraId="4B53E267" w14:textId="77777777" w:rsidR="005C3CEC" w:rsidRPr="00991867" w:rsidRDefault="005C3CEC" w:rsidP="005C3CEC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meghatározottak az etikai elvárások a szervezet minden szintjén,</w:t>
      </w:r>
    </w:p>
    <w:p w14:paraId="6C215C23" w14:textId="77777777" w:rsidR="005C3CEC" w:rsidRPr="00991867" w:rsidRDefault="005C3CEC" w:rsidP="005C3CEC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átlátható a humánerőforrás-kezelés</w:t>
      </w:r>
    </w:p>
    <w:p w14:paraId="56D898EF" w14:textId="77777777" w:rsidR="005C3CEC" w:rsidRPr="00991867" w:rsidRDefault="005C3CEC" w:rsidP="005C3CEC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A szervezeti felépítés meghatározott, feladatai, célrendszere, a főbb folyamatok szabályozottak (Szervezeti és Működési Szabályzat, Jegyzői és Polgármesteri Utasítások, együttműködési megállapodások, munkaköri leírások). A kiadott szabályzatokkal, a kialakított folyamatok működtetésével biztosított a rendelkezésre álló források szabályszerű, szabályozott, gazdaságos, hatékony és eredményes felhasználása. A feladatellátáshoz szükséges emberi erőforrás rendelkezésre áll.</w:t>
      </w:r>
    </w:p>
    <w:p w14:paraId="4E6FEA28" w14:textId="77777777" w:rsidR="009A5861" w:rsidRPr="00991867" w:rsidRDefault="009A5861" w:rsidP="009A586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676D87F" w14:textId="77777777" w:rsidR="005C3CEC" w:rsidRPr="00991867" w:rsidRDefault="005C3CEC" w:rsidP="009A5861">
      <w:pPr>
        <w:pStyle w:val="Cmsor2"/>
        <w:numPr>
          <w:ilvl w:val="1"/>
          <w:numId w:val="3"/>
        </w:numPr>
        <w:spacing w:line="240" w:lineRule="auto"/>
        <w:ind w:left="851" w:hanging="425"/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</w:rPr>
      </w:pPr>
      <w:bookmarkStart w:id="11" w:name="_Toc500411770"/>
      <w:r w:rsidRPr="00991867"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</w:rPr>
        <w:t>Kockázatkezelési rendszer</w:t>
      </w:r>
      <w:bookmarkEnd w:id="11"/>
    </w:p>
    <w:p w14:paraId="085C636C" w14:textId="77777777" w:rsidR="005C3CEC" w:rsidRPr="00991867" w:rsidRDefault="005C3CEC" w:rsidP="009A586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B5ECD32" w14:textId="77777777" w:rsidR="005C3CEC" w:rsidRPr="00991867" w:rsidRDefault="005C3CEC" w:rsidP="005C3CEC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A költségvetési szerv vezetője köteles kockázatkezelési rendszert működtetni, melynek során fel kell mérni és meg kell állapítani a költségvetési szerv tevékenységében, gazdálkodásában rejlő kockázatokat. A kockázatkezelés a Vezetés gyakorlati eszköze, a tervezés és döntéshozatal, a végrehajtás alapvető része, a szervezet feladatellátását támogató belső folyamat.</w:t>
      </w:r>
    </w:p>
    <w:p w14:paraId="5EF2E263" w14:textId="79F91C8C" w:rsidR="005C3CEC" w:rsidRDefault="005C3CEC" w:rsidP="005C3CE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 xml:space="preserve">A kockázatkezelés szabályai meghatározásra kerültek, kockázatkezelési szabályzat és ellenőrzési nyomvonal </w:t>
      </w:r>
      <w:r w:rsidR="00342A6B">
        <w:rPr>
          <w:rFonts w:cstheme="minorHAnsi"/>
          <w:sz w:val="24"/>
          <w:szCs w:val="24"/>
        </w:rPr>
        <w:t xml:space="preserve">(részben) </w:t>
      </w:r>
      <w:r w:rsidRPr="00991867">
        <w:rPr>
          <w:rFonts w:cstheme="minorHAnsi"/>
          <w:sz w:val="24"/>
          <w:szCs w:val="24"/>
        </w:rPr>
        <w:t>készült</w:t>
      </w:r>
      <w:r w:rsidR="002D2D6B" w:rsidRPr="00991867">
        <w:rPr>
          <w:rFonts w:cstheme="minorHAnsi"/>
          <w:sz w:val="24"/>
          <w:szCs w:val="24"/>
        </w:rPr>
        <w:t xml:space="preserve"> Szekszárd Megyei Jogú Város Polgármesteri Hivatala tekintetében</w:t>
      </w:r>
      <w:r w:rsidRPr="00991867">
        <w:rPr>
          <w:rFonts w:cstheme="minorHAnsi"/>
          <w:sz w:val="24"/>
          <w:szCs w:val="24"/>
        </w:rPr>
        <w:t>, de szükséges a kockázatkezelési rendszer</w:t>
      </w:r>
      <w:r w:rsidR="002D2D6B" w:rsidRPr="00991867">
        <w:rPr>
          <w:rFonts w:cstheme="minorHAnsi"/>
          <w:sz w:val="24"/>
          <w:szCs w:val="24"/>
        </w:rPr>
        <w:t>t fejleszteni és a fenntartásában lévő intézmények</w:t>
      </w:r>
      <w:r w:rsidR="00751F0A" w:rsidRPr="00991867">
        <w:rPr>
          <w:rFonts w:cstheme="minorHAnsi"/>
          <w:sz w:val="24"/>
          <w:szCs w:val="24"/>
        </w:rPr>
        <w:t xml:space="preserve"> esetében is szükséges </w:t>
      </w:r>
      <w:r w:rsidR="002D2D6B" w:rsidRPr="00991867">
        <w:rPr>
          <w:rFonts w:cstheme="minorHAnsi"/>
          <w:sz w:val="24"/>
          <w:szCs w:val="24"/>
        </w:rPr>
        <w:t>alkalmazni.</w:t>
      </w:r>
      <w:r w:rsidR="00342A6B">
        <w:rPr>
          <w:rFonts w:cstheme="minorHAnsi"/>
          <w:sz w:val="24"/>
          <w:szCs w:val="24"/>
        </w:rPr>
        <w:t xml:space="preserve"> Az ellenőrzési nyomvonalak teljeskörű elkészítése </w:t>
      </w:r>
      <w:r w:rsidR="007F342C">
        <w:rPr>
          <w:rFonts w:cstheme="minorHAnsi"/>
          <w:sz w:val="24"/>
          <w:szCs w:val="24"/>
        </w:rPr>
        <w:t>is elengedhetetlen a megfelelő, szabályszerű működés érdekében.</w:t>
      </w:r>
    </w:p>
    <w:p w14:paraId="64C93346" w14:textId="15C0ED8F" w:rsidR="007F342C" w:rsidRDefault="007F342C" w:rsidP="005C3CE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566345C" w14:textId="5CF363BE" w:rsidR="007F342C" w:rsidRDefault="007F342C" w:rsidP="005C3CE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0466451" w14:textId="77777777" w:rsidR="007F342C" w:rsidRPr="00991867" w:rsidRDefault="007F342C" w:rsidP="005C3CE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E3C709" w14:textId="77777777" w:rsidR="00751F0A" w:rsidRPr="00991867" w:rsidRDefault="00751F0A" w:rsidP="009A586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575A4C" w14:textId="77777777" w:rsidR="009664C4" w:rsidRPr="00991867" w:rsidRDefault="00751F0A" w:rsidP="009A5861">
      <w:pPr>
        <w:pStyle w:val="Cmsor2"/>
        <w:numPr>
          <w:ilvl w:val="1"/>
          <w:numId w:val="3"/>
        </w:numPr>
        <w:spacing w:line="360" w:lineRule="auto"/>
        <w:ind w:left="850" w:hanging="425"/>
        <w:rPr>
          <w:rFonts w:asciiTheme="minorHAnsi" w:hAnsiTheme="minorHAnsi" w:cstheme="minorHAnsi"/>
          <w:b/>
          <w:i/>
          <w:color w:val="auto"/>
          <w:sz w:val="24"/>
          <w:szCs w:val="24"/>
        </w:rPr>
      </w:pPr>
      <w:r w:rsidRPr="00991867">
        <w:rPr>
          <w:rFonts w:asciiTheme="minorHAnsi" w:hAnsiTheme="minorHAnsi" w:cstheme="minorHAnsi"/>
          <w:b/>
          <w:i/>
          <w:color w:val="auto"/>
          <w:sz w:val="24"/>
          <w:szCs w:val="24"/>
        </w:rPr>
        <w:lastRenderedPageBreak/>
        <w:t xml:space="preserve"> </w:t>
      </w:r>
      <w:bookmarkStart w:id="12" w:name="_Toc500411771"/>
      <w:r w:rsidRPr="00991867">
        <w:rPr>
          <w:rFonts w:asciiTheme="minorHAnsi" w:hAnsiTheme="minorHAnsi" w:cstheme="minorHAnsi"/>
          <w:b/>
          <w:i/>
          <w:color w:val="auto"/>
          <w:sz w:val="24"/>
          <w:szCs w:val="24"/>
        </w:rPr>
        <w:t>Kontrolltevékenységek</w:t>
      </w:r>
      <w:bookmarkEnd w:id="12"/>
    </w:p>
    <w:p w14:paraId="312FC7AA" w14:textId="77777777" w:rsidR="00751F0A" w:rsidRPr="00991867" w:rsidRDefault="00751F0A" w:rsidP="009A586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10B8520" w14:textId="77777777" w:rsidR="00751F0A" w:rsidRPr="00991867" w:rsidRDefault="00751F0A" w:rsidP="00751F0A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A kontrolltevékenység részeként minden tevékenységre vonatkozóan biztosítani kell</w:t>
      </w:r>
      <w:r w:rsidR="00444E7E" w:rsidRPr="00991867">
        <w:rPr>
          <w:rFonts w:eastAsia="Times New Roman" w:cstheme="minorHAnsi"/>
          <w:sz w:val="24"/>
          <w:szCs w:val="24"/>
        </w:rPr>
        <w:t xml:space="preserve"> a szervezeti célok elérését veszélyeztető kockázatok csökkentésére irányuló kontrollok kiépítését, különösen az alábbiak vonatkozásában</w:t>
      </w:r>
      <w:r w:rsidRPr="00991867">
        <w:rPr>
          <w:rFonts w:eastAsia="Times New Roman" w:cstheme="minorHAnsi"/>
          <w:sz w:val="24"/>
          <w:szCs w:val="24"/>
        </w:rPr>
        <w:t>:</w:t>
      </w:r>
    </w:p>
    <w:p w14:paraId="01FED13B" w14:textId="77777777" w:rsidR="00751F0A" w:rsidRPr="00991867" w:rsidRDefault="00751F0A" w:rsidP="00751F0A">
      <w:pPr>
        <w:pStyle w:val="Listaszerbekezds"/>
        <w:numPr>
          <w:ilvl w:val="0"/>
          <w:numId w:val="7"/>
        </w:num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 xml:space="preserve">a döntések dokumentumainak elkészítése </w:t>
      </w:r>
    </w:p>
    <w:p w14:paraId="27AD652E" w14:textId="77777777" w:rsidR="00751F0A" w:rsidRPr="00991867" w:rsidRDefault="00751F0A" w:rsidP="00751F0A">
      <w:pPr>
        <w:pStyle w:val="Listaszerbekezds"/>
        <w:numPr>
          <w:ilvl w:val="0"/>
          <w:numId w:val="7"/>
        </w:num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a döntések célszerűségi, gazdaságossági, hatékonysági és eredményességi szempontú megalapozottsága,</w:t>
      </w:r>
    </w:p>
    <w:p w14:paraId="420F57A6" w14:textId="77777777" w:rsidR="00751F0A" w:rsidRPr="00991867" w:rsidRDefault="00751F0A" w:rsidP="00751F0A">
      <w:pPr>
        <w:pStyle w:val="Listaszerbekezds"/>
        <w:numPr>
          <w:ilvl w:val="0"/>
          <w:numId w:val="7"/>
        </w:num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 xml:space="preserve">a </w:t>
      </w:r>
      <w:r w:rsidR="00444E7E" w:rsidRPr="00991867">
        <w:rPr>
          <w:rFonts w:eastAsia="Times New Roman" w:cstheme="minorHAnsi"/>
          <w:sz w:val="24"/>
          <w:szCs w:val="24"/>
        </w:rPr>
        <w:t xml:space="preserve">döntések </w:t>
      </w:r>
      <w:r w:rsidRPr="00991867">
        <w:rPr>
          <w:rFonts w:eastAsia="Times New Roman" w:cstheme="minorHAnsi"/>
          <w:sz w:val="24"/>
          <w:szCs w:val="24"/>
        </w:rPr>
        <w:t>szabályszerűségi szempontból történő jóváhagyása, illetve ellenjegyzése,</w:t>
      </w:r>
    </w:p>
    <w:p w14:paraId="61A26627" w14:textId="77777777" w:rsidR="00751F0A" w:rsidRPr="00991867" w:rsidRDefault="00751F0A" w:rsidP="00751F0A">
      <w:pPr>
        <w:pStyle w:val="Listaszerbekezds"/>
        <w:numPr>
          <w:ilvl w:val="0"/>
          <w:numId w:val="7"/>
        </w:num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a gazdasági események elszámolása (a hatályos jogszabályoknak megfelelő könyvvezetés és beszámolás)</w:t>
      </w:r>
    </w:p>
    <w:p w14:paraId="2E35C0C2" w14:textId="77777777" w:rsidR="00444E7E" w:rsidRPr="00991867" w:rsidRDefault="00444E7E" w:rsidP="00751F0A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</w:p>
    <w:p w14:paraId="5F309D1B" w14:textId="77777777" w:rsidR="00751F0A" w:rsidRPr="00991867" w:rsidRDefault="00751F0A" w:rsidP="00751F0A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A Polgármesteri Hivatal és intézményei tekintetében a kötelezettségvállalás, ellenjegyzés, szakmai teljesítésigazolás, érvényesítés, utalványozás és pénzügyi teljesítés rendje, az iratkezelés szabályai; a támogatások rendje, a folyamatba épített előzetes, utólagos és vezetői ellenőrzés rendszere kialakításra került. A kialakított rendszereket szükséges folyamatosan felülvizsgálni, a jogszabályi változásoknak megfelelően alakítani.</w:t>
      </w:r>
    </w:p>
    <w:p w14:paraId="6707EB59" w14:textId="77777777" w:rsidR="00444E7E" w:rsidRPr="00991867" w:rsidRDefault="00444E7E" w:rsidP="009A586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5DCADAB" w14:textId="77777777" w:rsidR="00751F0A" w:rsidRPr="00991867" w:rsidRDefault="00F10EF5" w:rsidP="0090432B">
      <w:pPr>
        <w:pStyle w:val="Cmsor2"/>
        <w:numPr>
          <w:ilvl w:val="1"/>
          <w:numId w:val="3"/>
        </w:numPr>
        <w:ind w:left="851" w:hanging="425"/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</w:rPr>
      </w:pPr>
      <w:r w:rsidRPr="00991867"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</w:rPr>
        <w:t xml:space="preserve"> </w:t>
      </w:r>
      <w:bookmarkStart w:id="13" w:name="_Toc500411772"/>
      <w:r w:rsidR="00751F0A" w:rsidRPr="00991867"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</w:rPr>
        <w:t>Információs és kommunikációs rendsze</w:t>
      </w:r>
      <w:r w:rsidR="0090432B" w:rsidRPr="00991867"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</w:rPr>
        <w:t>r</w:t>
      </w:r>
      <w:bookmarkEnd w:id="13"/>
    </w:p>
    <w:p w14:paraId="6DFF4805" w14:textId="77777777" w:rsidR="0090432B" w:rsidRPr="00991867" w:rsidRDefault="0090432B" w:rsidP="009A5861">
      <w:pPr>
        <w:spacing w:after="0" w:line="240" w:lineRule="auto"/>
        <w:rPr>
          <w:rFonts w:cstheme="minorHAnsi"/>
        </w:rPr>
      </w:pPr>
    </w:p>
    <w:p w14:paraId="757ACBEB" w14:textId="77777777" w:rsidR="00751F0A" w:rsidRPr="00991867" w:rsidRDefault="00751F0A" w:rsidP="00751F0A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 xml:space="preserve">A költségvetési szerv vezetője köteles olyan rendszereket kialakítani és </w:t>
      </w:r>
      <w:r w:rsidR="0090432B" w:rsidRPr="00991867">
        <w:rPr>
          <w:rFonts w:eastAsia="Times New Roman" w:cstheme="minorHAnsi"/>
          <w:sz w:val="24"/>
          <w:szCs w:val="24"/>
        </w:rPr>
        <w:t xml:space="preserve">működtetni, melyek biztosítják, </w:t>
      </w:r>
      <w:r w:rsidRPr="00991867">
        <w:rPr>
          <w:rFonts w:eastAsia="Times New Roman" w:cstheme="minorHAnsi"/>
          <w:sz w:val="24"/>
          <w:szCs w:val="24"/>
        </w:rPr>
        <w:t xml:space="preserve">hogy a megfelelő információk a megfelelő időben eljussanak az illetékes szervezethez, szervezeti egységhez, illetve személyhez. </w:t>
      </w:r>
    </w:p>
    <w:p w14:paraId="02EDE9FD" w14:textId="77777777" w:rsidR="00444E7E" w:rsidRPr="00991867" w:rsidRDefault="00751F0A" w:rsidP="00751F0A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 xml:space="preserve">A belső információs és kommunikációs rendszer biztosítja, hogy a munkatársak megismerjék a vezetés által kitűzött célokat, a megvalósításukhoz szükséges előírásokat, követelményeket és feltételeket, e téren szükséges a Hivatal és intézményei közti információs és kommunikációs </w:t>
      </w:r>
    </w:p>
    <w:p w14:paraId="7C364CDF" w14:textId="77777777" w:rsidR="00444E7E" w:rsidRPr="00991867" w:rsidRDefault="00444E7E">
      <w:pPr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br w:type="page"/>
      </w:r>
    </w:p>
    <w:p w14:paraId="4A300F88" w14:textId="77777777" w:rsidR="00751F0A" w:rsidRPr="00991867" w:rsidRDefault="00444E7E" w:rsidP="00751F0A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lastRenderedPageBreak/>
        <w:t xml:space="preserve">rendszer </w:t>
      </w:r>
      <w:r w:rsidR="00751F0A" w:rsidRPr="00991867">
        <w:rPr>
          <w:rFonts w:eastAsia="Times New Roman" w:cstheme="minorHAnsi"/>
          <w:sz w:val="24"/>
          <w:szCs w:val="24"/>
        </w:rPr>
        <w:t>fejlesztése, az információáramlás, kommunikáci</w:t>
      </w:r>
      <w:r w:rsidR="00092B63" w:rsidRPr="00991867">
        <w:rPr>
          <w:rFonts w:eastAsia="Times New Roman" w:cstheme="minorHAnsi"/>
          <w:sz w:val="24"/>
          <w:szCs w:val="24"/>
        </w:rPr>
        <w:t>ó rendjének szabályozása, annak érdekében, hogy a határidők és módok világosan meg legyenek határozva.</w:t>
      </w:r>
    </w:p>
    <w:p w14:paraId="30D0C360" w14:textId="77777777" w:rsidR="00092B63" w:rsidRPr="00991867" w:rsidRDefault="00092B63" w:rsidP="009A586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3E41416" w14:textId="77777777" w:rsidR="00092B63" w:rsidRPr="00991867" w:rsidRDefault="00092B63" w:rsidP="0090432B">
      <w:pPr>
        <w:pStyle w:val="Cmsor2"/>
        <w:ind w:left="851" w:hanging="425"/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</w:rPr>
      </w:pPr>
      <w:r w:rsidRPr="00991867"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</w:rPr>
        <w:t xml:space="preserve"> </w:t>
      </w:r>
      <w:bookmarkStart w:id="14" w:name="_Toc500411773"/>
      <w:r w:rsidR="00F10EF5" w:rsidRPr="00991867"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</w:rPr>
        <w:t xml:space="preserve">5.5 </w:t>
      </w:r>
      <w:r w:rsidRPr="00991867">
        <w:rPr>
          <w:rFonts w:asciiTheme="minorHAnsi" w:eastAsia="Times New Roman" w:hAnsiTheme="minorHAnsi" w:cstheme="minorHAnsi"/>
          <w:b/>
          <w:i/>
          <w:color w:val="auto"/>
          <w:sz w:val="24"/>
          <w:szCs w:val="24"/>
        </w:rPr>
        <w:t>Nyomon követés (monitoring)</w:t>
      </w:r>
      <w:bookmarkEnd w:id="14"/>
    </w:p>
    <w:p w14:paraId="6FE38481" w14:textId="77777777" w:rsidR="00092B63" w:rsidRPr="00991867" w:rsidRDefault="00092B63" w:rsidP="009A586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65F3404" w14:textId="77777777" w:rsidR="00092B63" w:rsidRPr="00991867" w:rsidRDefault="00092B63" w:rsidP="00092B63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 xml:space="preserve">A költségvetési szerv vezetője köteles olyan monitoring rendszert működtetni, mely lehetővé teszi a szervezet tevékenységének, a célok megvalósításának nyomon követését. A költségvetési szerv monitoring rendszere az operatív tevékenységek keretében megvalósuló folyamatos és eseti nyomon követésből, valamint az operatív tevékenységektől függetlenül működő belső ellenőrzésből áll. </w:t>
      </w:r>
    </w:p>
    <w:p w14:paraId="0D5B2757" w14:textId="77777777" w:rsidR="00751F0A" w:rsidRPr="00991867" w:rsidRDefault="00092B63" w:rsidP="00751F0A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 w:rsidRPr="00991867">
        <w:rPr>
          <w:rFonts w:eastAsia="Times New Roman" w:cstheme="minorHAnsi"/>
          <w:sz w:val="24"/>
          <w:szCs w:val="24"/>
        </w:rPr>
        <w:t>A belső kontrollrendszer keretén belül működő belső ellenőrzés független, tárgyilagos bizonyosságot adó és tanácsadó tevékenység, amelynek célja, hogy az ellenőrzött szervezet működését fejlessze és eredményességét növelje.</w:t>
      </w:r>
    </w:p>
    <w:p w14:paraId="7D00FCAF" w14:textId="77777777" w:rsidR="00751F0A" w:rsidRPr="00991867" w:rsidRDefault="00751F0A" w:rsidP="00751F0A">
      <w:pPr>
        <w:pStyle w:val="Listaszerbekezds"/>
        <w:spacing w:after="0" w:line="360" w:lineRule="auto"/>
        <w:ind w:left="0"/>
        <w:jc w:val="both"/>
        <w:rPr>
          <w:rFonts w:eastAsia="Times New Roman" w:cstheme="minorHAnsi"/>
          <w:sz w:val="24"/>
          <w:szCs w:val="24"/>
        </w:rPr>
      </w:pPr>
    </w:p>
    <w:p w14:paraId="29EABBBD" w14:textId="77777777" w:rsidR="007705FD" w:rsidRPr="00991867" w:rsidRDefault="007705FD" w:rsidP="00F10EF5">
      <w:pPr>
        <w:pStyle w:val="Listaszerbekezds"/>
        <w:numPr>
          <w:ilvl w:val="0"/>
          <w:numId w:val="3"/>
        </w:numPr>
        <w:spacing w:after="0" w:line="360" w:lineRule="auto"/>
        <w:jc w:val="both"/>
        <w:outlineLvl w:val="0"/>
        <w:rPr>
          <w:rFonts w:cstheme="minorHAnsi"/>
          <w:b/>
          <w:sz w:val="24"/>
          <w:szCs w:val="24"/>
        </w:rPr>
      </w:pPr>
      <w:bookmarkStart w:id="15" w:name="_Toc500411774"/>
      <w:r w:rsidRPr="00991867">
        <w:rPr>
          <w:rFonts w:cstheme="minorHAnsi"/>
          <w:b/>
          <w:sz w:val="24"/>
          <w:szCs w:val="24"/>
        </w:rPr>
        <w:t>Az el</w:t>
      </w:r>
      <w:r w:rsidR="00092B63" w:rsidRPr="00991867">
        <w:rPr>
          <w:rFonts w:cstheme="minorHAnsi"/>
          <w:b/>
          <w:sz w:val="24"/>
          <w:szCs w:val="24"/>
        </w:rPr>
        <w:t>lenőrzés prioritási és az ellenőrzési gyakoriság</w:t>
      </w:r>
      <w:bookmarkEnd w:id="15"/>
    </w:p>
    <w:p w14:paraId="2D31065F" w14:textId="77777777" w:rsidR="00092B63" w:rsidRPr="00991867" w:rsidRDefault="00092B63" w:rsidP="00092B63">
      <w:pPr>
        <w:pStyle w:val="Listaszerbekezds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</w:p>
    <w:p w14:paraId="4CCE33A4" w14:textId="77777777" w:rsidR="007705FD" w:rsidRPr="00991867" w:rsidRDefault="007705FD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A költségvetési szerv ellenőrzésekor vizsgálandó területek meghatározásánál a vonatkozó jogszabályi előírásokon felül figyelembe kell venni a szervezet struktúrájában vagy tevékenységében beálló változásokat is.</w:t>
      </w:r>
    </w:p>
    <w:p w14:paraId="1D9FFF36" w14:textId="77777777" w:rsidR="007705FD" w:rsidRPr="00991867" w:rsidRDefault="007705FD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 xml:space="preserve">Elsődleges szempont az ellenőrzés működtetését illetően, hogy biztosítsa az önkormányzat, </w:t>
      </w:r>
      <w:r w:rsidR="00F10EF5" w:rsidRPr="00991867">
        <w:rPr>
          <w:rFonts w:cstheme="minorHAnsi"/>
          <w:sz w:val="24"/>
          <w:szCs w:val="24"/>
        </w:rPr>
        <w:t xml:space="preserve">a Hivatal, </w:t>
      </w:r>
      <w:r w:rsidRPr="00991867">
        <w:rPr>
          <w:rFonts w:cstheme="minorHAnsi"/>
          <w:sz w:val="24"/>
          <w:szCs w:val="24"/>
        </w:rPr>
        <w:t>illetve az intézmények rendelkezés</w:t>
      </w:r>
      <w:r w:rsidR="00F10EF5" w:rsidRPr="00991867">
        <w:rPr>
          <w:rFonts w:cstheme="minorHAnsi"/>
          <w:sz w:val="24"/>
          <w:szCs w:val="24"/>
        </w:rPr>
        <w:t>é</w:t>
      </w:r>
      <w:r w:rsidRPr="00991867">
        <w:rPr>
          <w:rFonts w:cstheme="minorHAnsi"/>
          <w:sz w:val="24"/>
          <w:szCs w:val="24"/>
        </w:rPr>
        <w:t>re álló források szabályszerű, szabályozott, gazdaságos, hatékony és eredményes felhasználását.</w:t>
      </w:r>
    </w:p>
    <w:p w14:paraId="1E0E6BEC" w14:textId="77777777" w:rsidR="007705FD" w:rsidRPr="00991867" w:rsidRDefault="00F10EF5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 xml:space="preserve">Az éves tervek összeállítása során a belső ellenőrzés figyelembe veszi az előző év vizsgálatainak főbb megállapításait, az ellenőrzés alá még nem vont területeket. Az ellenőrzések kiválasztása során a belső ellenőrzés figyelembe veszi a kockázatelemzés eredményeit. Az éves tervben rögzített ellenőrzések végrehajtásán túl sor kerülhet soron kívüli vizsgálatok végrehajtására is. </w:t>
      </w:r>
    </w:p>
    <w:p w14:paraId="2A4F0425" w14:textId="77777777" w:rsidR="00F10EF5" w:rsidRPr="00991867" w:rsidRDefault="00F10EF5" w:rsidP="007705FD">
      <w:pPr>
        <w:tabs>
          <w:tab w:val="center" w:pos="7513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45EB6E4" w14:textId="0AE35F11" w:rsidR="007705FD" w:rsidRPr="00991867" w:rsidRDefault="00F10EF5" w:rsidP="007705FD">
      <w:pPr>
        <w:tabs>
          <w:tab w:val="center" w:pos="7513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>Szekszárd, 20</w:t>
      </w:r>
      <w:r w:rsidR="00C83B75" w:rsidRPr="00991867">
        <w:rPr>
          <w:rFonts w:cstheme="minorHAnsi"/>
          <w:sz w:val="24"/>
          <w:szCs w:val="24"/>
        </w:rPr>
        <w:t>21</w:t>
      </w:r>
      <w:r w:rsidR="007705FD" w:rsidRPr="00991867">
        <w:rPr>
          <w:rFonts w:cstheme="minorHAnsi"/>
          <w:sz w:val="24"/>
          <w:szCs w:val="24"/>
        </w:rPr>
        <w:t xml:space="preserve">. </w:t>
      </w:r>
      <w:r w:rsidR="00C83B75" w:rsidRPr="00991867">
        <w:rPr>
          <w:rFonts w:cstheme="minorHAnsi"/>
          <w:sz w:val="24"/>
          <w:szCs w:val="24"/>
        </w:rPr>
        <w:t>november</w:t>
      </w:r>
      <w:r w:rsidRPr="00991867">
        <w:rPr>
          <w:rFonts w:cstheme="minorHAnsi"/>
          <w:sz w:val="24"/>
          <w:szCs w:val="24"/>
        </w:rPr>
        <w:t xml:space="preserve"> </w:t>
      </w:r>
      <w:r w:rsidR="00C83B75" w:rsidRPr="00991867">
        <w:rPr>
          <w:rFonts w:cstheme="minorHAnsi"/>
          <w:sz w:val="24"/>
          <w:szCs w:val="24"/>
        </w:rPr>
        <w:t>30</w:t>
      </w:r>
      <w:r w:rsidRPr="00991867">
        <w:rPr>
          <w:rFonts w:cstheme="minorHAnsi"/>
          <w:sz w:val="24"/>
          <w:szCs w:val="24"/>
        </w:rPr>
        <w:t>.</w:t>
      </w:r>
    </w:p>
    <w:p w14:paraId="309B0C31" w14:textId="77777777" w:rsidR="00596A2D" w:rsidRPr="00991867" w:rsidRDefault="00596A2D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72F7297" w14:textId="77777777" w:rsidR="007705FD" w:rsidRPr="00991867" w:rsidRDefault="007705FD" w:rsidP="007705F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24BECF1" w14:textId="77777777" w:rsidR="007705FD" w:rsidRPr="00991867" w:rsidRDefault="007705FD" w:rsidP="007705FD">
      <w:pPr>
        <w:tabs>
          <w:tab w:val="center" w:pos="7797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ab/>
        <w:t>Gulyás Rita</w:t>
      </w:r>
    </w:p>
    <w:p w14:paraId="35CD841C" w14:textId="77777777" w:rsidR="007705FD" w:rsidRPr="00991867" w:rsidRDefault="007705FD" w:rsidP="007705FD">
      <w:pPr>
        <w:tabs>
          <w:tab w:val="center" w:pos="7797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991867">
        <w:rPr>
          <w:rFonts w:cstheme="minorHAnsi"/>
          <w:sz w:val="24"/>
          <w:szCs w:val="24"/>
        </w:rPr>
        <w:tab/>
        <w:t>Belső ellenőr</w:t>
      </w:r>
    </w:p>
    <w:sectPr w:rsidR="007705FD" w:rsidRPr="00991867" w:rsidSect="009A5861">
      <w:footerReference w:type="default" r:id="rId10"/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7CAD7" w14:textId="77777777" w:rsidR="003E3F41" w:rsidRDefault="003E3F41" w:rsidP="009A5861">
      <w:pPr>
        <w:spacing w:after="0" w:line="240" w:lineRule="auto"/>
      </w:pPr>
      <w:r>
        <w:separator/>
      </w:r>
    </w:p>
  </w:endnote>
  <w:endnote w:type="continuationSeparator" w:id="0">
    <w:p w14:paraId="6077686D" w14:textId="77777777" w:rsidR="003E3F41" w:rsidRDefault="003E3F41" w:rsidP="009A5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8624151"/>
      <w:docPartObj>
        <w:docPartGallery w:val="Page Numbers (Bottom of Page)"/>
        <w:docPartUnique/>
      </w:docPartObj>
    </w:sdtPr>
    <w:sdtEndPr/>
    <w:sdtContent>
      <w:p w14:paraId="5D4CF38F" w14:textId="77777777" w:rsidR="009A5861" w:rsidRDefault="009A586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1F0">
          <w:rPr>
            <w:noProof/>
          </w:rPr>
          <w:t>1</w:t>
        </w:r>
        <w:r>
          <w:fldChar w:fldCharType="end"/>
        </w:r>
      </w:p>
    </w:sdtContent>
  </w:sdt>
  <w:p w14:paraId="6C288D96" w14:textId="77777777" w:rsidR="009A5861" w:rsidRDefault="009A586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02777" w14:textId="77777777" w:rsidR="003E3F41" w:rsidRDefault="003E3F41" w:rsidP="009A5861">
      <w:pPr>
        <w:spacing w:after="0" w:line="240" w:lineRule="auto"/>
      </w:pPr>
      <w:r>
        <w:separator/>
      </w:r>
    </w:p>
  </w:footnote>
  <w:footnote w:type="continuationSeparator" w:id="0">
    <w:p w14:paraId="0DD050C4" w14:textId="77777777" w:rsidR="003E3F41" w:rsidRDefault="003E3F41" w:rsidP="009A58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579D5"/>
    <w:multiLevelType w:val="hybridMultilevel"/>
    <w:tmpl w:val="4FF0399C"/>
    <w:lvl w:ilvl="0" w:tplc="35A0A68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E29A8"/>
    <w:multiLevelType w:val="hybridMultilevel"/>
    <w:tmpl w:val="82C8D7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B5A18"/>
    <w:multiLevelType w:val="hybridMultilevel"/>
    <w:tmpl w:val="04EABD6C"/>
    <w:lvl w:ilvl="0" w:tplc="35A0A68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405E27"/>
    <w:multiLevelType w:val="hybridMultilevel"/>
    <w:tmpl w:val="2D9C31BE"/>
    <w:lvl w:ilvl="0" w:tplc="040E0013">
      <w:start w:val="1"/>
      <w:numFmt w:val="upperRoman"/>
      <w:pStyle w:val="Cmsor1"/>
      <w:lvlText w:val="%1."/>
      <w:lvlJc w:val="righ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37C4796"/>
    <w:multiLevelType w:val="hybridMultilevel"/>
    <w:tmpl w:val="1C809F78"/>
    <w:lvl w:ilvl="0" w:tplc="419EA6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986D78"/>
    <w:multiLevelType w:val="multilevel"/>
    <w:tmpl w:val="303CC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F425E81"/>
    <w:multiLevelType w:val="hybridMultilevel"/>
    <w:tmpl w:val="993C05B2"/>
    <w:lvl w:ilvl="0" w:tplc="35A0A68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1D"/>
    <w:rsid w:val="00001E50"/>
    <w:rsid w:val="00013322"/>
    <w:rsid w:val="0006190D"/>
    <w:rsid w:val="00092B63"/>
    <w:rsid w:val="001248EB"/>
    <w:rsid w:val="00134F12"/>
    <w:rsid w:val="001A0F20"/>
    <w:rsid w:val="001F01E6"/>
    <w:rsid w:val="00202BBC"/>
    <w:rsid w:val="00211811"/>
    <w:rsid w:val="0022290B"/>
    <w:rsid w:val="002D2D6B"/>
    <w:rsid w:val="00303614"/>
    <w:rsid w:val="00342A6B"/>
    <w:rsid w:val="00352907"/>
    <w:rsid w:val="00363F6C"/>
    <w:rsid w:val="003E0332"/>
    <w:rsid w:val="003E3F41"/>
    <w:rsid w:val="004345D7"/>
    <w:rsid w:val="00442426"/>
    <w:rsid w:val="00444E7E"/>
    <w:rsid w:val="004543D0"/>
    <w:rsid w:val="00510923"/>
    <w:rsid w:val="00522B84"/>
    <w:rsid w:val="00596A2D"/>
    <w:rsid w:val="005A2954"/>
    <w:rsid w:val="005C3CEC"/>
    <w:rsid w:val="005E24B2"/>
    <w:rsid w:val="00640AA4"/>
    <w:rsid w:val="00665B5F"/>
    <w:rsid w:val="006A5485"/>
    <w:rsid w:val="006C61F0"/>
    <w:rsid w:val="00751013"/>
    <w:rsid w:val="00751F0A"/>
    <w:rsid w:val="007705FD"/>
    <w:rsid w:val="007E1094"/>
    <w:rsid w:val="007F342C"/>
    <w:rsid w:val="008A729B"/>
    <w:rsid w:val="008E1D1F"/>
    <w:rsid w:val="00900A6C"/>
    <w:rsid w:val="0090432B"/>
    <w:rsid w:val="009664C4"/>
    <w:rsid w:val="00991867"/>
    <w:rsid w:val="009A5861"/>
    <w:rsid w:val="00A0644D"/>
    <w:rsid w:val="00A745DD"/>
    <w:rsid w:val="00A97535"/>
    <w:rsid w:val="00AE4BE9"/>
    <w:rsid w:val="00C142CF"/>
    <w:rsid w:val="00C74F80"/>
    <w:rsid w:val="00C83B75"/>
    <w:rsid w:val="00D51C6F"/>
    <w:rsid w:val="00DB0922"/>
    <w:rsid w:val="00DD5E3F"/>
    <w:rsid w:val="00DE29EA"/>
    <w:rsid w:val="00E2651D"/>
    <w:rsid w:val="00ED298A"/>
    <w:rsid w:val="00EE25FD"/>
    <w:rsid w:val="00EF4E47"/>
    <w:rsid w:val="00F07042"/>
    <w:rsid w:val="00F10EF5"/>
    <w:rsid w:val="00F7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6655C"/>
  <w15:docId w15:val="{ECDFA551-AFB3-4F5D-B874-45B912C4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qFormat/>
    <w:rsid w:val="00211811"/>
    <w:pPr>
      <w:numPr>
        <w:numId w:val="1"/>
      </w:numPr>
      <w:suppressAutoHyphens/>
      <w:autoSpaceDN w:val="0"/>
      <w:spacing w:before="100" w:after="100" w:line="240" w:lineRule="auto"/>
      <w:jc w:val="center"/>
      <w:textAlignment w:val="baseline"/>
      <w:outlineLvl w:val="0"/>
    </w:pPr>
    <w:rPr>
      <w:rFonts w:eastAsia="Times New Roman" w:cs="Times New Roman"/>
      <w:b/>
      <w:bCs/>
      <w:color w:val="000000"/>
      <w:kern w:val="3"/>
      <w:sz w:val="32"/>
      <w:szCs w:val="3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10E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118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11811"/>
    <w:rPr>
      <w:rFonts w:eastAsia="Times New Roman" w:cs="Times New Roman"/>
      <w:b/>
      <w:bCs/>
      <w:color w:val="000000"/>
      <w:kern w:val="3"/>
      <w:sz w:val="32"/>
      <w:szCs w:val="3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118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szerbekezds">
    <w:name w:val="List Paragraph"/>
    <w:basedOn w:val="Norml"/>
    <w:uiPriority w:val="34"/>
    <w:qFormat/>
    <w:rsid w:val="00211811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211811"/>
    <w:pPr>
      <w:keepNext/>
      <w:keepLines/>
      <w:numPr>
        <w:numId w:val="0"/>
      </w:numPr>
      <w:suppressAutoHyphens w:val="0"/>
      <w:autoSpaceDN/>
      <w:spacing w:before="480" w:after="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table" w:styleId="Rcsostblzat">
    <w:name w:val="Table Grid"/>
    <w:basedOn w:val="Normltblzat"/>
    <w:uiPriority w:val="59"/>
    <w:rsid w:val="00DE2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F10EF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J1">
    <w:name w:val="toc 1"/>
    <w:basedOn w:val="Norml"/>
    <w:next w:val="Norml"/>
    <w:autoRedefine/>
    <w:uiPriority w:val="39"/>
    <w:unhideWhenUsed/>
    <w:rsid w:val="0090432B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90432B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90432B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9A5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A5861"/>
  </w:style>
  <w:style w:type="paragraph" w:styleId="llb">
    <w:name w:val="footer"/>
    <w:basedOn w:val="Norml"/>
    <w:link w:val="llbChar"/>
    <w:uiPriority w:val="99"/>
    <w:unhideWhenUsed/>
    <w:rsid w:val="009A5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A5861"/>
  </w:style>
  <w:style w:type="paragraph" w:styleId="Buborkszveg">
    <w:name w:val="Balloon Text"/>
    <w:basedOn w:val="Norml"/>
    <w:link w:val="BuborkszvegChar"/>
    <w:uiPriority w:val="99"/>
    <w:semiHidden/>
    <w:unhideWhenUsed/>
    <w:rsid w:val="00444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E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hu/url?sa=i&amp;rct=j&amp;q=&amp;esrc=s&amp;source=images&amp;cd=&amp;cad=rja&amp;uact=8&amp;ved=0ahUKEwiOnIjZhvDXAhUECBoKHXQRD2wQjRwIBw&amp;url=http://survive.hu/?clients%3Dszekszard-megyei-jogu-varos-onkormanyzata&amp;psig=AOvVaw3Z3q3HwgjG8_uwyxUeCcKf&amp;ust=151246643711666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1C8DA-A0B3-4955-B166-701DFC09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1714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Gulyás Rita</cp:lastModifiedBy>
  <cp:revision>4</cp:revision>
  <cp:lastPrinted>2017-12-07T13:59:00Z</cp:lastPrinted>
  <dcterms:created xsi:type="dcterms:W3CDTF">2021-11-23T12:58:00Z</dcterms:created>
  <dcterms:modified xsi:type="dcterms:W3CDTF">2021-11-30T14:13:00Z</dcterms:modified>
</cp:coreProperties>
</file>